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2"/>
          <w:szCs w:val="32"/>
        </w:rPr>
        <w:t xml:space="preserve">Defensive Reflection Report — </w:t>
      </w:r>
      <w:r>
        <w:rPr>
          <w:b/>
          <w:bCs/>
          <w:i/>
          <w:iCs/>
          <w:color w:val="1F3A5F"/>
          <w:sz w:val="32"/>
          <w:szCs w:val="32"/>
        </w:rPr>
        <w:t xml:space="preserve">logwatch</w:t>
      </w:r>
    </w:p>
    <w:p>
      <w:pPr>
        <w:pBdr>
          <w:bottom w:val="single" w:color="1F3A5F" w:sz="8" w:space="6"/>
        </w:pBdr>
        <w:spacing w:after="140"/>
        <w:jc w:val="center"/>
      </w:pPr>
      <w:r>
        <w:rPr>
          <w:color w:val="555555"/>
          <w:sz w:val="17"/>
          <w:szCs w:val="17"/>
        </w:rPr>
        <w:t xml:space="preserve">Web access-log analyzer for incident response  |  Python / Bash / PowerShell for Cybersecurity  |  Author: Aswathy</w:t>
      </w:r>
    </w:p>
    <w:p>
      <w:pPr>
        <w:spacing w:after="80" w:before="190"/>
      </w:pPr>
      <w:r>
        <w:rPr>
          <w:b/>
          <w:bCs/>
          <w:color w:val="1F3A5F"/>
          <w:sz w:val="23"/>
          <w:szCs w:val="23"/>
        </w:rPr>
        <w:t xml:space="preserve">1. Purpose &amp; Nature of the Tool</w:t>
      </w:r>
    </w:p>
    <w:p>
      <w:pPr>
        <w:spacing w:after="120" w:line="264"/>
        <w:jc w:val="both"/>
      </w:pPr>
      <w:r>
        <w:rPr>
          <w:i/>
          <w:iCs/>
          <w:sz w:val="19"/>
          <w:szCs w:val="19"/>
        </w:rPr>
        <w:t xml:space="preserve">logwatch</w:t>
      </w:r>
      <w:r>
        <w:rPr>
          <w:sz w:val="19"/>
          <w:szCs w:val="19"/>
        </w:rPr>
        <w:t xml:space="preserve"> is a </w:t>
      </w:r>
      <w:r>
        <w:rPr>
          <w:b/>
          <w:bCs/>
          <w:sz w:val="19"/>
          <w:szCs w:val="19"/>
        </w:rPr>
        <w:t xml:space="preserve">defensive (blue-team)</w:t>
      </w:r>
      <w:r>
        <w:rPr>
          <w:sz w:val="19"/>
          <w:szCs w:val="19"/>
        </w:rPr>
        <w:t xml:space="preserve"> tool: it parses Apache/Nginx access logs and flags brute-force attempts, SQL-injection and path-traversal probes, and scanning activity, ranking suspicious source IPs by severity. Unlike an offensive scanner, its risk profile is dominated not by what it does to a target, but by the trust placed in its output and the sensitive data it processes. It maps to detection of MITRE ATT&amp;CK techniques such as </w:t>
      </w:r>
      <w:r>
        <w:rPr>
          <w:b/>
          <w:bCs/>
          <w:sz w:val="19"/>
          <w:szCs w:val="19"/>
        </w:rPr>
        <w:t xml:space="preserve">T1110 (Brute Force)</w:t>
      </w:r>
      <w:r>
        <w:rPr>
          <w:sz w:val="19"/>
          <w:szCs w:val="19"/>
        </w:rPr>
        <w:t xml:space="preserve"> and </w:t>
      </w:r>
      <w:r>
        <w:rPr>
          <w:b/>
          <w:bCs/>
          <w:sz w:val="19"/>
          <w:szCs w:val="19"/>
        </w:rPr>
        <w:t xml:space="preserve">T1190 (Exploit Public-Facing Application)</w:t>
      </w:r>
      <w:r>
        <w:rPr>
          <w:sz w:val="19"/>
          <w:szCs w:val="19"/>
        </w:rPr>
        <w:t xml:space="preserve">.</w:t>
      </w:r>
    </w:p>
    <w:p>
      <w:pPr>
        <w:spacing w:after="80" w:before="190"/>
      </w:pPr>
      <w:r>
        <w:rPr>
          <w:b/>
          <w:bCs/>
          <w:color w:val="1F3A5F"/>
          <w:sz w:val="23"/>
          <w:szCs w:val="23"/>
        </w:rPr>
        <w:t xml:space="preserve">2. Security Risks Associated With the Tool</w:t>
      </w:r>
    </w:p>
    <w:tbl>
      <w:tblPr>
        <w:tblW w:type="dxa" w:w="9400"/>
        <w:tblBorders>
          <w:top w:val="single" w:color="CCCCCC" w:sz="2"/>
          <w:left w:val="none"/>
          <w:bottom w:val="single" w:color="CCCCCC" w:sz="2"/>
          <w:right w:val="none"/>
          <w:insideH w:val="single" w:color="CCCCCC" w:sz="2"/>
          <w:insideV w:val="none"/>
        </w:tblBorders>
      </w:tblPr>
      <w:tblGrid>
        <w:gridCol w:w="2800"/>
        <w:gridCol w:w="6600"/>
      </w:tblGrid>
      <w:tr>
        <w:trPr>
          <w:tblHeader/>
        </w:trPr>
        <w:tc>
          <w:tcPr>
            <w:tcW w:type="dxa" w:w="2800"/>
            <w:shd w:fill="1F3A5F" w:color="auto" w:val="clear"/>
            <w:tcMar>
              <w:top w:type="dxa" w:w="55"/>
              <w:left w:type="dxa" w:w="90"/>
              <w:bottom w:type="dxa" w:w="55"/>
              <w:right w:type="dxa" w:w="90"/>
            </w:tcMar>
          </w:tcPr>
          <w:p>
            <w:pPr>
              <w:spacing w:after="0" w:line="240"/>
            </w:pPr>
            <w:r>
              <w:rPr>
                <w:b/>
                <w:bCs/>
                <w:color w:val="FFFFFF"/>
                <w:sz w:val="17"/>
                <w:szCs w:val="17"/>
              </w:rPr>
              <w:t xml:space="preserve">Risk</w:t>
            </w:r>
          </w:p>
        </w:tc>
        <w:tc>
          <w:tcPr>
            <w:tcW w:type="dxa" w:w="6600"/>
            <w:shd w:fill="1F3A5F" w:color="auto" w:val="clear"/>
            <w:tcMar>
              <w:top w:type="dxa" w:w="55"/>
              <w:left w:type="dxa" w:w="90"/>
              <w:bottom w:type="dxa" w:w="55"/>
              <w:right w:type="dxa" w:w="90"/>
            </w:tcMar>
          </w:tcPr>
          <w:p>
            <w:pPr>
              <w:spacing w:after="0" w:line="240"/>
            </w:pPr>
            <w:r>
              <w:rPr>
                <w:b/>
                <w:bCs/>
                <w:color w:val="FFFFFF"/>
                <w:sz w:val="17"/>
                <w:szCs w:val="17"/>
              </w:rPr>
              <w:t xml:space="preserve">Description &amp; consequence</w:t>
            </w:r>
          </w:p>
        </w:tc>
      </w:tr>
      <w:tr>
        <w:tc>
          <w:tcPr>
            <w:tcW w:type="dxa" w:w="2800"/>
            <w:shd w:fill="F2F5F9" w:color="auto" w:val="clear"/>
            <w:tcMar>
              <w:top w:type="dxa" w:w="55"/>
              <w:left w:type="dxa" w:w="90"/>
              <w:bottom w:type="dxa" w:w="55"/>
              <w:right w:type="dxa" w:w="90"/>
            </w:tcMar>
          </w:tcPr>
          <w:p>
            <w:pPr>
              <w:spacing w:after="0" w:line="240"/>
            </w:pPr>
            <w:r>
              <w:rPr>
                <w:b/>
                <w:bCs/>
                <w:color w:val="1F3A5F"/>
                <w:sz w:val="17"/>
                <w:szCs w:val="17"/>
              </w:rPr>
              <w:t xml:space="preserve">False sense of security</w:t>
            </w:r>
          </w:p>
        </w:tc>
        <w:tc>
          <w:tcPr>
            <w:tcW w:type="dxa" w:w="6600"/>
            <w:shd w:fill="F2F5F9" w:color="auto" w:val="clear"/>
            <w:tcMar>
              <w:top w:type="dxa" w:w="55"/>
              <w:left w:type="dxa" w:w="90"/>
              <w:bottom w:type="dxa" w:w="55"/>
              <w:right w:type="dxa" w:w="90"/>
            </w:tcMar>
          </w:tcPr>
          <w:p>
            <w:pPr>
              <w:spacing w:after="0" w:line="240"/>
            </w:pPr>
            <w:r>
              <w:rPr>
                <w:sz w:val="19"/>
                <w:szCs w:val="19"/>
              </w:rPr>
              <w:t xml:space="preserve">Signature + threshold detection misses novel, low-and-slow, or obfuscated attacks. Relying on it as the only control leaves real intrusions undetected.</w:t>
            </w:r>
          </w:p>
        </w:tc>
      </w:tr>
      <w:tr>
        <w:tc>
          <w:tcPr>
            <w:tcW w:type="dxa" w:w="2800"/>
            <w:tcMar>
              <w:top w:type="dxa" w:w="55"/>
              <w:left w:type="dxa" w:w="90"/>
              <w:bottom w:type="dxa" w:w="55"/>
              <w:right w:type="dxa" w:w="90"/>
            </w:tcMar>
          </w:tcPr>
          <w:p>
            <w:pPr>
              <w:spacing w:after="0" w:line="240"/>
            </w:pPr>
            <w:r>
              <w:rPr>
                <w:b/>
                <w:bCs/>
                <w:color w:val="1F3A5F"/>
                <w:sz w:val="17"/>
                <w:szCs w:val="17"/>
              </w:rPr>
              <w:t xml:space="preserve">False positives / alert fatigue</w:t>
            </w:r>
          </w:p>
        </w:tc>
        <w:tc>
          <w:tcPr>
            <w:tcW w:type="dxa" w:w="6600"/>
            <w:tcMar>
              <w:top w:type="dxa" w:w="55"/>
              <w:left w:type="dxa" w:w="90"/>
              <w:bottom w:type="dxa" w:w="55"/>
              <w:right w:type="dxa" w:w="90"/>
            </w:tcMar>
          </w:tcPr>
          <w:p>
            <w:pPr>
              <w:spacing w:after="0" w:line="240"/>
            </w:pPr>
            <w:r>
              <w:rPr>
                <w:sz w:val="19"/>
                <w:szCs w:val="19"/>
              </w:rPr>
              <w:t xml:space="preserve">Legitimate scanners, load balancers, or a user mistyping a password can trip the rules; too many false alerts cause analysts to ignore genuine ones.</w:t>
            </w:r>
          </w:p>
        </w:tc>
      </w:tr>
      <w:tr>
        <w:tc>
          <w:tcPr>
            <w:tcW w:type="dxa" w:w="2800"/>
            <w:shd w:fill="F2F5F9" w:color="auto" w:val="clear"/>
            <w:tcMar>
              <w:top w:type="dxa" w:w="55"/>
              <w:left w:type="dxa" w:w="90"/>
              <w:bottom w:type="dxa" w:w="55"/>
              <w:right w:type="dxa" w:w="90"/>
            </w:tcMar>
          </w:tcPr>
          <w:p>
            <w:pPr>
              <w:spacing w:after="0" w:line="240"/>
            </w:pPr>
            <w:r>
              <w:rPr>
                <w:b/>
                <w:bCs/>
                <w:color w:val="1F3A5F"/>
                <w:sz w:val="17"/>
                <w:szCs w:val="17"/>
              </w:rPr>
              <w:t xml:space="preserve">Sensitive-data handling (GDPR)</w:t>
            </w:r>
          </w:p>
        </w:tc>
        <w:tc>
          <w:tcPr>
            <w:tcW w:type="dxa" w:w="6600"/>
            <w:shd w:fill="F2F5F9" w:color="auto" w:val="clear"/>
            <w:tcMar>
              <w:top w:type="dxa" w:w="55"/>
              <w:left w:type="dxa" w:w="90"/>
              <w:bottom w:type="dxa" w:w="55"/>
              <w:right w:type="dxa" w:w="90"/>
            </w:tcMar>
          </w:tcPr>
          <w:p>
            <w:pPr>
              <w:spacing w:after="0" w:line="240"/>
            </w:pPr>
            <w:r>
              <w:rPr>
                <w:sz w:val="19"/>
                <w:szCs w:val="19"/>
              </w:rPr>
              <w:t xml:space="preserve">Access logs and the JSON report contain IP addresses and request data — personal data. If mishandled or leaked, the analysis output itself becomes a privacy incident.</w:t>
            </w:r>
          </w:p>
        </w:tc>
      </w:tr>
      <w:tr>
        <w:tc>
          <w:tcPr>
            <w:tcW w:type="dxa" w:w="2800"/>
            <w:tcMar>
              <w:top w:type="dxa" w:w="55"/>
              <w:left w:type="dxa" w:w="90"/>
              <w:bottom w:type="dxa" w:w="55"/>
              <w:right w:type="dxa" w:w="90"/>
            </w:tcMar>
          </w:tcPr>
          <w:p>
            <w:pPr>
              <w:spacing w:after="0" w:line="240"/>
            </w:pPr>
            <w:r>
              <w:rPr>
                <w:b/>
                <w:bCs/>
                <w:color w:val="1F3A5F"/>
                <w:sz w:val="17"/>
                <w:szCs w:val="17"/>
              </w:rPr>
              <w:t xml:space="preserve">Log injection / spoofing</w:t>
            </w:r>
          </w:p>
        </w:tc>
        <w:tc>
          <w:tcPr>
            <w:tcW w:type="dxa" w:w="6600"/>
            <w:tcMar>
              <w:top w:type="dxa" w:w="55"/>
              <w:left w:type="dxa" w:w="90"/>
              <w:bottom w:type="dxa" w:w="55"/>
              <w:right w:type="dxa" w:w="90"/>
            </w:tcMar>
          </w:tcPr>
          <w:p>
            <w:pPr>
              <w:spacing w:after="0" w:line="240"/>
            </w:pPr>
            <w:r>
              <w:rPr>
                <w:sz w:val="19"/>
                <w:szCs w:val="19"/>
              </w:rPr>
              <w:t xml:space="preserve">Attackers control parts of a request (paths, user-agents) and can inject crafted text or spoofed 'X-Forwarded-For' IPs to mislead the parser or frame an innocent address.</w:t>
            </w:r>
          </w:p>
        </w:tc>
      </w:tr>
      <w:tr>
        <w:tc>
          <w:tcPr>
            <w:tcW w:type="dxa" w:w="2800"/>
            <w:shd w:fill="F2F5F9" w:color="auto" w:val="clear"/>
            <w:tcMar>
              <w:top w:type="dxa" w:w="55"/>
              <w:left w:type="dxa" w:w="90"/>
              <w:bottom w:type="dxa" w:w="55"/>
              <w:right w:type="dxa" w:w="90"/>
            </w:tcMar>
          </w:tcPr>
          <w:p>
            <w:pPr>
              <w:spacing w:after="0" w:line="240"/>
            </w:pPr>
            <w:r>
              <w:rPr>
                <w:b/>
                <w:bCs/>
                <w:color w:val="1F3A5F"/>
                <w:sz w:val="17"/>
                <w:szCs w:val="17"/>
              </w:rPr>
              <w:t xml:space="preserve">Untrusted input parsing</w:t>
            </w:r>
          </w:p>
        </w:tc>
        <w:tc>
          <w:tcPr>
            <w:tcW w:type="dxa" w:w="6600"/>
            <w:shd w:fill="F2F5F9" w:color="auto" w:val="clear"/>
            <w:tcMar>
              <w:top w:type="dxa" w:w="55"/>
              <w:left w:type="dxa" w:w="90"/>
              <w:bottom w:type="dxa" w:w="55"/>
              <w:right w:type="dxa" w:w="90"/>
            </w:tcMar>
          </w:tcPr>
          <w:p>
            <w:pPr>
              <w:spacing w:after="0" w:line="240"/>
            </w:pPr>
            <w:r>
              <w:rPr>
                <w:sz w:val="19"/>
                <w:szCs w:val="19"/>
              </w:rPr>
              <w:t xml:space="preserve">A parser fed hostile, malformed logs must never crash or hang; a poorly written regex could be a denial-of-service (ReDoS) vector.</w:t>
            </w:r>
          </w:p>
        </w:tc>
      </w:tr>
      <w:tr>
        <w:tc>
          <w:tcPr>
            <w:tcW w:type="dxa" w:w="2800"/>
            <w:tcMar>
              <w:top w:type="dxa" w:w="55"/>
              <w:left w:type="dxa" w:w="90"/>
              <w:bottom w:type="dxa" w:w="55"/>
              <w:right w:type="dxa" w:w="90"/>
            </w:tcMar>
          </w:tcPr>
          <w:p>
            <w:pPr>
              <w:spacing w:after="0" w:line="240"/>
            </w:pPr>
            <w:r>
              <w:rPr>
                <w:b/>
                <w:bCs/>
                <w:color w:val="1F3A5F"/>
                <w:sz w:val="17"/>
                <w:szCs w:val="17"/>
              </w:rPr>
              <w:t xml:space="preserve">Tampered / incomplete logs</w:t>
            </w:r>
          </w:p>
        </w:tc>
        <w:tc>
          <w:tcPr>
            <w:tcW w:type="dxa" w:w="6600"/>
            <w:tcMar>
              <w:top w:type="dxa" w:w="55"/>
              <w:left w:type="dxa" w:w="90"/>
              <w:bottom w:type="dxa" w:w="55"/>
              <w:right w:type="dxa" w:w="90"/>
            </w:tcMar>
          </w:tcPr>
          <w:p>
            <w:pPr>
              <w:spacing w:after="0" w:line="240"/>
            </w:pPr>
            <w:r>
              <w:rPr>
                <w:sz w:val="19"/>
                <w:szCs w:val="19"/>
              </w:rPr>
              <w:t xml:space="preserve">An attacker who deletes or edits log lines erases their own traces; analysis of tampered logs yields false conclusions.</w:t>
            </w:r>
          </w:p>
        </w:tc>
      </w:tr>
    </w:tbl>
    <w:p>
      <w:pPr>
        <w:spacing w:after="80" w:before="190"/>
      </w:pPr>
      <w:r>
        <w:rPr>
          <w:b/>
          <w:bCs/>
          <w:color w:val="1F3A5F"/>
          <w:sz w:val="23"/>
          <w:szCs w:val="23"/>
        </w:rPr>
        <w:t xml:space="preserve">3. How a Defender Detects the Attacks This Tool Hunts (in Production)</w:t>
      </w:r>
    </w:p>
    <w:p>
      <w:pPr>
        <w:spacing w:after="120" w:line="264"/>
        <w:jc w:val="both"/>
      </w:pPr>
      <w:r>
        <w:rPr>
          <w:sz w:val="19"/>
          <w:szCs w:val="19"/>
        </w:rPr>
        <w:t xml:space="preserve">In a real environment this log analysis is one layer; a mature defender corroborates it across several independent signals:</w:t>
      </w:r>
    </w:p>
    <w:p>
      <w:pPr>
        <w:pStyle w:val="ListParagraph"/>
        <w:numPr>
          <w:ilvl w:val="0"/>
          <w:numId w:val="1"/>
        </w:numPr>
        <w:spacing w:after="90" w:line="258"/>
        <w:jc w:val="both"/>
      </w:pPr>
      <w:r>
        <w:rPr>
          <w:b/>
          <w:bCs/>
          <w:sz w:val="19"/>
          <w:szCs w:val="19"/>
        </w:rPr>
        <w:t xml:space="preserve">Centralised logging &amp; SIEM correlation: </w:t>
      </w:r>
      <w:r>
        <w:rPr>
          <w:sz w:val="19"/>
          <w:szCs w:val="19"/>
        </w:rPr>
        <w:t xml:space="preserve">shipping web logs to a SIEM (Splunk, Elastic, Wazuh) lets the same brute-force / SQLi / scan patterns be correlated with auth logs and alerted on in real time, rather than in an after-the-fact batch run.</w:t>
      </w:r>
    </w:p>
    <w:p>
      <w:pPr>
        <w:pStyle w:val="ListParagraph"/>
        <w:numPr>
          <w:ilvl w:val="0"/>
          <w:numId w:val="1"/>
        </w:numPr>
        <w:spacing w:after="90" w:line="258"/>
        <w:jc w:val="both"/>
      </w:pPr>
      <w:r>
        <w:rPr>
          <w:b/>
          <w:bCs/>
          <w:sz w:val="19"/>
          <w:szCs w:val="19"/>
        </w:rPr>
        <w:t xml:space="preserve">WAF &amp; IPS telemetry: </w:t>
      </w:r>
      <w:r>
        <w:rPr>
          <w:sz w:val="19"/>
          <w:szCs w:val="19"/>
        </w:rPr>
        <w:t xml:space="preserve">a Web Application Firewall (e.g. ModSecurity with the OWASP Core Rule Set) both blocks and logs SQLi/traversal attempts, giving higher-fidelity signals than access-log signatures alone.</w:t>
      </w:r>
    </w:p>
    <w:p>
      <w:pPr>
        <w:pStyle w:val="ListParagraph"/>
        <w:numPr>
          <w:ilvl w:val="0"/>
          <w:numId w:val="1"/>
        </w:numPr>
        <w:spacing w:after="90" w:line="258"/>
        <w:jc w:val="both"/>
      </w:pPr>
      <w:r>
        <w:rPr>
          <w:b/>
          <w:bCs/>
          <w:sz w:val="19"/>
          <w:szCs w:val="19"/>
        </w:rPr>
        <w:t xml:space="preserve">Rate-based &amp; auth-failure alerting: </w:t>
      </w:r>
      <w:r>
        <w:rPr>
          <w:sz w:val="19"/>
          <w:szCs w:val="19"/>
        </w:rPr>
        <w:t xml:space="preserve">fail2ban or WAF rate limits detect and automatically block IPs exceeding a 401/403 or 404 rate — the production analogue of this tool's thresholds.</w:t>
      </w:r>
    </w:p>
    <w:p>
      <w:pPr>
        <w:pStyle w:val="ListParagraph"/>
        <w:numPr>
          <w:ilvl w:val="0"/>
          <w:numId w:val="1"/>
        </w:numPr>
        <w:spacing w:after="90" w:line="258"/>
        <w:jc w:val="both"/>
      </w:pPr>
      <w:r>
        <w:rPr>
          <w:b/>
          <w:bCs/>
          <w:sz w:val="19"/>
          <w:szCs w:val="19"/>
        </w:rPr>
        <w:t xml:space="preserve">Log integrity: </w:t>
      </w:r>
      <w:r>
        <w:rPr>
          <w:sz w:val="19"/>
          <w:szCs w:val="19"/>
        </w:rPr>
        <w:t xml:space="preserve">forwarding logs off-host immediately (append-only store, WORM, or a logging pipeline) ensures an attacker cannot erase the very evidence this tool relies on.</w:t>
      </w:r>
    </w:p>
    <w:p>
      <w:pPr>
        <w:pStyle w:val="ListParagraph"/>
        <w:numPr>
          <w:ilvl w:val="0"/>
          <w:numId w:val="1"/>
        </w:numPr>
        <w:spacing w:after="90" w:line="258"/>
        <w:jc w:val="both"/>
      </w:pPr>
      <w:r>
        <w:rPr>
          <w:b/>
          <w:bCs/>
          <w:sz w:val="19"/>
          <w:szCs w:val="19"/>
        </w:rPr>
        <w:t xml:space="preserve">Enrichment &amp; threat intel: </w:t>
      </w:r>
      <w:r>
        <w:rPr>
          <w:sz w:val="19"/>
          <w:szCs w:val="19"/>
        </w:rPr>
        <w:t xml:space="preserve">cross-referencing flagged IPs against reputation feeds and geolocation raises or lowers confidence before an analyst acts.</w:t>
      </w:r>
    </w:p>
    <w:p>
      <w:pPr>
        <w:spacing w:after="80" w:before="190"/>
      </w:pPr>
      <w:r>
        <w:rPr>
          <w:b/>
          <w:bCs/>
          <w:color w:val="1F3A5F"/>
          <w:sz w:val="23"/>
          <w:szCs w:val="23"/>
        </w:rPr>
        <w:t xml:space="preserve">4. Recommendations</w:t>
      </w:r>
    </w:p>
    <w:p>
      <w:pPr>
        <w:spacing w:after="120" w:line="264"/>
        <w:jc w:val="both"/>
      </w:pPr>
      <w:r>
        <w:rPr>
          <w:sz w:val="19"/>
          <w:szCs w:val="19"/>
        </w:rPr>
        <w:t xml:space="preserve">Treat logwatch as a triage aid, not a sole control: feed it into a SIEM, pair it with a WAF and fail2ban, and tune thresholds to your baseline to curb false positives. Protect the logs and the generated reports as personal data (access control, retention limits, encryption at rest). Ensure log integrity by shipping logs off-host, and corroborate flagged IPs with threat intelligence before blocking. Layered detection plus protected, tamper-resistant logs turn raw access records into reliable, actionable intelligence.</w:t>
      </w:r>
    </w:p>
    <w:p>
      <w:pPr>
        <w:pBdr>
          <w:top w:val="single" w:color="CCCCCC" w:sz="6"/>
        </w:pBdr>
        <w:spacing w:before="150"/>
      </w:pPr>
      <w:r>
        <w:rPr>
          <w:i/>
          <w:iCs/>
          <w:color w:val="555555"/>
          <w:sz w:val="15"/>
          <w:szCs w:val="15"/>
        </w:rPr>
        <w:t xml:space="preserve">Educational implementation. Detects indicators of MITRE ATT&amp;CK T1110 (Brute Force) and T1190 (Exploit Public-Facing Application).</w:t>
      </w:r>
    </w:p>
    <w:sectPr>
      <w:pgSz w:w="11906" w:h="16838" w:orient="portrait"/>
      <w:pgMar w:top="680" w:right="1000" w:bottom="6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logwatch - Defensive Reflection Report</dc:title>
  <dc:creator>Aswathy</dc:creator>
  <cp:lastModifiedBy>Un-named</cp:lastModifiedBy>
  <cp:revision>1</cp:revision>
  <dcterms:created xsi:type="dcterms:W3CDTF">2026-09-30T21:32:11.117Z</dcterms:created>
  <dcterms:modified xsi:type="dcterms:W3CDTF">2026-09-30T21:32:11.124Z</dcterms:modified>
</cp:coreProperties>
</file>

<file path=docProps/custom.xml><?xml version="1.0" encoding="utf-8"?>
<Properties xmlns="http://schemas.openxmlformats.org/officeDocument/2006/custom-properties" xmlns:vt="http://schemas.openxmlformats.org/officeDocument/2006/docPropsVTypes"/>
</file>