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487E" w14:textId="1FA1208D" w:rsidR="00D63212" w:rsidRPr="009667AA" w:rsidRDefault="0086620C" w:rsidP="00D63212">
      <w:pPr>
        <w:jc w:val="both"/>
        <w:rPr>
          <w:b/>
          <w:bCs/>
          <w:sz w:val="35"/>
          <w:szCs w:val="35"/>
        </w:rPr>
      </w:pPr>
      <w:r w:rsidRPr="009667AA">
        <w:rPr>
          <w:b/>
          <w:bCs/>
          <w:sz w:val="35"/>
          <w:szCs w:val="35"/>
        </w:rPr>
        <w:t>Customer Churn Analysis Report</w:t>
      </w:r>
      <w:r w:rsidR="009667AA" w:rsidRPr="009667AA">
        <w:rPr>
          <w:b/>
          <w:bCs/>
          <w:sz w:val="35"/>
          <w:szCs w:val="35"/>
        </w:rPr>
        <w:t xml:space="preserve"> – Aswin V T </w:t>
      </w:r>
    </w:p>
    <w:p w14:paraId="3002988A" w14:textId="77777777" w:rsidR="0086620C" w:rsidRPr="0086620C" w:rsidRDefault="0086620C" w:rsidP="00D63212">
      <w:pPr>
        <w:jc w:val="both"/>
        <w:rPr>
          <w:b/>
          <w:bCs/>
          <w:sz w:val="32"/>
          <w:szCs w:val="32"/>
        </w:rPr>
      </w:pPr>
      <w:r w:rsidRPr="00D63212">
        <w:rPr>
          <w:b/>
          <w:bCs/>
          <w:color w:val="4C94D8" w:themeColor="text2" w:themeTint="80"/>
          <w:sz w:val="32"/>
          <w:szCs w:val="32"/>
        </w:rPr>
        <w:t>Introduction</w:t>
      </w:r>
    </w:p>
    <w:p w14:paraId="2A8F382B" w14:textId="6B7383D6" w:rsidR="0086620C" w:rsidRDefault="0086620C" w:rsidP="00D63212">
      <w:pPr>
        <w:jc w:val="both"/>
        <w:rPr>
          <w:sz w:val="24"/>
          <w:szCs w:val="24"/>
        </w:rPr>
      </w:pPr>
      <w:r w:rsidRPr="0086620C">
        <w:rPr>
          <w:sz w:val="24"/>
          <w:szCs w:val="24"/>
        </w:rPr>
        <w:t xml:space="preserve">Customer churn, or customer attrition, refers to </w:t>
      </w:r>
      <w:r>
        <w:rPr>
          <w:sz w:val="24"/>
          <w:szCs w:val="24"/>
        </w:rPr>
        <w:t>losing</w:t>
      </w:r>
      <w:r w:rsidRPr="0086620C">
        <w:rPr>
          <w:sz w:val="24"/>
          <w:szCs w:val="24"/>
        </w:rPr>
        <w:t xml:space="preserve"> clients or customers. It is a significant issue for businesses as retaining existing customers is often more cost-effective than acquiring new ones. This analysis aims to understand the factors influencing customer churn and identify patterns that can help reduce churn rates.</w:t>
      </w:r>
    </w:p>
    <w:p w14:paraId="524EF5DF" w14:textId="77777777" w:rsidR="0086620C" w:rsidRPr="00AD1760" w:rsidRDefault="0086620C" w:rsidP="00D63212">
      <w:pPr>
        <w:jc w:val="both"/>
        <w:rPr>
          <w:b/>
          <w:bCs/>
          <w:color w:val="4C94D8" w:themeColor="text2" w:themeTint="80"/>
          <w:sz w:val="32"/>
          <w:szCs w:val="32"/>
        </w:rPr>
      </w:pPr>
      <w:r w:rsidRPr="00AD1760">
        <w:rPr>
          <w:b/>
          <w:bCs/>
          <w:color w:val="4C94D8" w:themeColor="text2" w:themeTint="80"/>
          <w:sz w:val="32"/>
          <w:szCs w:val="32"/>
        </w:rPr>
        <w:t>Data Overview</w:t>
      </w:r>
    </w:p>
    <w:p w14:paraId="12016AB2" w14:textId="5B310ED7" w:rsidR="0086620C" w:rsidRPr="0086620C" w:rsidRDefault="0086620C" w:rsidP="00D63212">
      <w:pPr>
        <w:jc w:val="both"/>
        <w:rPr>
          <w:sz w:val="24"/>
          <w:szCs w:val="24"/>
        </w:rPr>
      </w:pPr>
      <w:r w:rsidRPr="0086620C">
        <w:rPr>
          <w:sz w:val="24"/>
          <w:szCs w:val="24"/>
        </w:rPr>
        <w:t>The dataset contains information on 6,687 customers with the following columns:</w:t>
      </w:r>
    </w:p>
    <w:p w14:paraId="5AE97D3A" w14:textId="7CAD19D2" w:rsidR="00D63212" w:rsidRPr="00AD1760" w:rsidRDefault="00AD1760" w:rsidP="00D63212">
      <w:pPr>
        <w:jc w:val="both"/>
        <w:rPr>
          <w:sz w:val="24"/>
          <w:szCs w:val="24"/>
        </w:rPr>
      </w:pPr>
      <w:r w:rsidRPr="00AD1760">
        <w:rPr>
          <w:sz w:val="24"/>
          <w:szCs w:val="24"/>
        </w:rPr>
        <w:t xml:space="preserve">The dataset used for the customer churn analysis contains information about 6,687 customers. The dataset includes </w:t>
      </w:r>
      <w:r>
        <w:rPr>
          <w:sz w:val="24"/>
          <w:szCs w:val="24"/>
        </w:rPr>
        <w:t>various</w:t>
      </w:r>
      <w:r w:rsidRPr="00AD1760">
        <w:rPr>
          <w:sz w:val="24"/>
          <w:szCs w:val="24"/>
        </w:rPr>
        <w:t xml:space="preserve"> features related to customer demographics, service usage, financial information, customer service interactions, and contract details.</w:t>
      </w:r>
    </w:p>
    <w:p w14:paraId="3F4E9841" w14:textId="4B4CC334" w:rsidR="0086620C" w:rsidRPr="00D63212" w:rsidRDefault="0086620C" w:rsidP="00AD1760">
      <w:pPr>
        <w:spacing w:after="0"/>
        <w:jc w:val="both"/>
        <w:rPr>
          <w:b/>
          <w:bCs/>
          <w:color w:val="4C94D8" w:themeColor="text2" w:themeTint="80"/>
          <w:sz w:val="32"/>
          <w:szCs w:val="32"/>
        </w:rPr>
      </w:pPr>
      <w:r w:rsidRPr="00D63212">
        <w:rPr>
          <w:b/>
          <w:bCs/>
          <w:color w:val="4C94D8" w:themeColor="text2" w:themeTint="80"/>
          <w:sz w:val="32"/>
          <w:szCs w:val="32"/>
        </w:rPr>
        <w:t>Data Analysis</w:t>
      </w:r>
    </w:p>
    <w:p w14:paraId="4533CCC1" w14:textId="77777777" w:rsidR="0086620C" w:rsidRPr="0086620C" w:rsidRDefault="0086620C" w:rsidP="00D63212">
      <w:p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Churn Rate</w:t>
      </w:r>
      <w:r w:rsidRPr="0086620C">
        <w:rPr>
          <w:sz w:val="24"/>
          <w:szCs w:val="24"/>
        </w:rPr>
        <w:t>: Calculate the overall churn rate.</w:t>
      </w:r>
    </w:p>
    <w:p w14:paraId="6F42EB77" w14:textId="64BAB8F7" w:rsidR="0086620C" w:rsidRPr="0086620C" w:rsidRDefault="0086620C" w:rsidP="00D63212">
      <w:p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Demographics</w:t>
      </w:r>
      <w:r w:rsidRPr="0086620C">
        <w:rPr>
          <w:sz w:val="24"/>
          <w:szCs w:val="24"/>
        </w:rPr>
        <w:t xml:space="preserve">: </w:t>
      </w:r>
      <w:r w:rsidR="00D63212" w:rsidRPr="0086620C">
        <w:rPr>
          <w:sz w:val="24"/>
          <w:szCs w:val="24"/>
        </w:rPr>
        <w:t>Analyse</w:t>
      </w:r>
      <w:r w:rsidRPr="0086620C">
        <w:rPr>
          <w:sz w:val="24"/>
          <w:szCs w:val="24"/>
        </w:rPr>
        <w:t xml:space="preserve"> churn based on demographics like age, gender, and senior status.</w:t>
      </w:r>
    </w:p>
    <w:p w14:paraId="75502EE3" w14:textId="77777777" w:rsidR="0086620C" w:rsidRPr="0086620C" w:rsidRDefault="0086620C" w:rsidP="00D63212">
      <w:p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Service Usage</w:t>
      </w:r>
      <w:r w:rsidRPr="0086620C">
        <w:rPr>
          <w:sz w:val="24"/>
          <w:szCs w:val="24"/>
        </w:rPr>
        <w:t>: Examine the relationship between service usage (local calls, international calls, data usage) and churn.</w:t>
      </w:r>
    </w:p>
    <w:p w14:paraId="2023A1A5" w14:textId="77777777" w:rsidR="0086620C" w:rsidRPr="0086620C" w:rsidRDefault="0086620C" w:rsidP="00D63212">
      <w:p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Customer Service</w:t>
      </w:r>
      <w:r w:rsidRPr="0086620C">
        <w:rPr>
          <w:sz w:val="24"/>
          <w:szCs w:val="24"/>
        </w:rPr>
        <w:t>: Investigate the impact of customer service calls on churn.</w:t>
      </w:r>
    </w:p>
    <w:p w14:paraId="11FCEF11" w14:textId="77777777" w:rsidR="0086620C" w:rsidRPr="0086620C" w:rsidRDefault="0086620C" w:rsidP="00D63212">
      <w:p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Financials:</w:t>
      </w:r>
      <w:r w:rsidRPr="0086620C">
        <w:rPr>
          <w:sz w:val="24"/>
          <w:szCs w:val="24"/>
        </w:rPr>
        <w:t xml:space="preserve"> Explore the effect of charges (monthly and total) on churn.</w:t>
      </w:r>
    </w:p>
    <w:p w14:paraId="3CABFBF0" w14:textId="2F6C1487" w:rsidR="0086620C" w:rsidRDefault="0086620C" w:rsidP="00D63212">
      <w:p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Contract and Payment:</w:t>
      </w:r>
      <w:r w:rsidRPr="0086620C">
        <w:rPr>
          <w:sz w:val="24"/>
          <w:szCs w:val="24"/>
        </w:rPr>
        <w:t xml:space="preserve"> Assess how contract type and payment method influence churn.</w:t>
      </w:r>
    </w:p>
    <w:p w14:paraId="494AC5B9" w14:textId="77777777" w:rsidR="00D63212" w:rsidRPr="00D63212" w:rsidRDefault="00D63212" w:rsidP="00AD1760">
      <w:pPr>
        <w:spacing w:after="0"/>
        <w:jc w:val="both"/>
        <w:rPr>
          <w:b/>
          <w:bCs/>
          <w:color w:val="4C94D8" w:themeColor="text2" w:themeTint="80"/>
          <w:sz w:val="32"/>
          <w:szCs w:val="32"/>
        </w:rPr>
      </w:pPr>
      <w:r w:rsidRPr="00D63212">
        <w:rPr>
          <w:b/>
          <w:bCs/>
          <w:color w:val="4C94D8" w:themeColor="text2" w:themeTint="80"/>
          <w:sz w:val="32"/>
          <w:szCs w:val="32"/>
        </w:rPr>
        <w:t>Key Findings</w:t>
      </w:r>
    </w:p>
    <w:p w14:paraId="425D870A" w14:textId="3180C0B5" w:rsidR="00D63212" w:rsidRPr="00D63212" w:rsidRDefault="00D63212" w:rsidP="00D63212">
      <w:pPr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Churn Rate</w:t>
      </w:r>
      <w:r w:rsidR="00AD1760">
        <w:rPr>
          <w:sz w:val="24"/>
          <w:szCs w:val="24"/>
        </w:rPr>
        <w:t xml:space="preserve">: </w:t>
      </w:r>
      <w:r w:rsidRPr="00D63212">
        <w:rPr>
          <w:sz w:val="24"/>
          <w:szCs w:val="24"/>
        </w:rPr>
        <w:t>The dataset contains 1,769 churned customers, leading to a churn rate of approximately 26.5%.</w:t>
      </w:r>
    </w:p>
    <w:p w14:paraId="191256D7" w14:textId="77777777" w:rsidR="00D63212" w:rsidRPr="00AD1760" w:rsidRDefault="00D63212" w:rsidP="00D63212">
      <w:p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Demographics</w:t>
      </w:r>
    </w:p>
    <w:p w14:paraId="3D96FE55" w14:textId="2627DF5B" w:rsidR="00D63212" w:rsidRPr="00AD1760" w:rsidRDefault="00D63212" w:rsidP="00AD176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Age:</w:t>
      </w:r>
      <w:r w:rsidR="00AD1760" w:rsidRPr="00AD1760">
        <w:rPr>
          <w:sz w:val="24"/>
          <w:szCs w:val="24"/>
        </w:rPr>
        <w:t xml:space="preserve"> </w:t>
      </w:r>
      <w:r w:rsidRPr="00AD1760">
        <w:rPr>
          <w:sz w:val="24"/>
          <w:szCs w:val="24"/>
        </w:rPr>
        <w:t>Younger customers (</w:t>
      </w:r>
      <w:r w:rsidR="00AD1760">
        <w:rPr>
          <w:sz w:val="24"/>
          <w:szCs w:val="24"/>
        </w:rPr>
        <w:t>&lt;</w:t>
      </w:r>
      <w:r w:rsidRPr="00AD1760">
        <w:rPr>
          <w:sz w:val="24"/>
          <w:szCs w:val="24"/>
        </w:rPr>
        <w:t xml:space="preserve"> 30) have a churn rate of 30% compared to 24% for customers aged 30 and above.</w:t>
      </w:r>
    </w:p>
    <w:p w14:paraId="737B88A2" w14:textId="2D255B97" w:rsidR="00D63212" w:rsidRPr="00AD1760" w:rsidRDefault="00D63212" w:rsidP="00AD176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Gender:</w:t>
      </w:r>
      <w:r w:rsidR="00AD1760" w:rsidRPr="00AD1760">
        <w:rPr>
          <w:sz w:val="24"/>
          <w:szCs w:val="24"/>
        </w:rPr>
        <w:t xml:space="preserve"> </w:t>
      </w:r>
      <w:r w:rsidRPr="00AD1760">
        <w:rPr>
          <w:sz w:val="24"/>
          <w:szCs w:val="24"/>
        </w:rPr>
        <w:t>No significant difference in churn rates between males (26.8%) and females (26.2%).</w:t>
      </w:r>
    </w:p>
    <w:p w14:paraId="05F9142D" w14:textId="4CB83760" w:rsidR="00D63212" w:rsidRPr="00AD1760" w:rsidRDefault="00D63212" w:rsidP="00AD176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Senior Status:</w:t>
      </w:r>
      <w:r w:rsidR="00AD1760" w:rsidRPr="00AD1760">
        <w:rPr>
          <w:sz w:val="24"/>
          <w:szCs w:val="24"/>
        </w:rPr>
        <w:t xml:space="preserve"> </w:t>
      </w:r>
      <w:r w:rsidRPr="00AD1760">
        <w:rPr>
          <w:sz w:val="24"/>
          <w:szCs w:val="24"/>
        </w:rPr>
        <w:t xml:space="preserve">Seniors have a churn rate of 25%, which is slightly lower </w:t>
      </w:r>
      <w:r w:rsidR="00AD1760">
        <w:rPr>
          <w:sz w:val="24"/>
          <w:szCs w:val="24"/>
        </w:rPr>
        <w:t>than</w:t>
      </w:r>
      <w:r w:rsidRPr="00AD1760">
        <w:rPr>
          <w:sz w:val="24"/>
          <w:szCs w:val="24"/>
        </w:rPr>
        <w:t xml:space="preserve"> 27% for non-seniors.</w:t>
      </w:r>
    </w:p>
    <w:p w14:paraId="3F87B2FA" w14:textId="77777777" w:rsidR="00D63212" w:rsidRPr="00AD1760" w:rsidRDefault="00D63212" w:rsidP="00D63212">
      <w:p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Service Usage</w:t>
      </w:r>
    </w:p>
    <w:p w14:paraId="51985EB2" w14:textId="1408D4DE" w:rsidR="00D63212" w:rsidRPr="00AD1760" w:rsidRDefault="00D63212" w:rsidP="00AD1760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Local Calls and Minutes:</w:t>
      </w:r>
    </w:p>
    <w:p w14:paraId="5D75B904" w14:textId="7A751E14" w:rsidR="00D63212" w:rsidRPr="00AD1760" w:rsidRDefault="00D63212" w:rsidP="00AD1760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D1760">
        <w:rPr>
          <w:sz w:val="24"/>
          <w:szCs w:val="24"/>
        </w:rPr>
        <w:t xml:space="preserve">Customers making more than 300 local </w:t>
      </w:r>
      <w:r w:rsidR="00AD1760">
        <w:rPr>
          <w:sz w:val="24"/>
          <w:szCs w:val="24"/>
        </w:rPr>
        <w:t>monthly calls</w:t>
      </w:r>
      <w:r w:rsidRPr="00AD1760">
        <w:rPr>
          <w:sz w:val="24"/>
          <w:szCs w:val="24"/>
        </w:rPr>
        <w:t xml:space="preserve"> have a churn rate of 18% compared to 35% for those making fewer calls.</w:t>
      </w:r>
    </w:p>
    <w:p w14:paraId="0847ACF1" w14:textId="77777777" w:rsidR="00D63212" w:rsidRPr="00AD1760" w:rsidRDefault="00D63212" w:rsidP="00AD1760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D1760">
        <w:rPr>
          <w:sz w:val="24"/>
          <w:szCs w:val="24"/>
        </w:rPr>
        <w:t>Customers using over 400 minutes of local calls per month have a churn rate of 20% compared to 33% for those using fewer minutes.</w:t>
      </w:r>
    </w:p>
    <w:p w14:paraId="7959B3FA" w14:textId="544CCC03" w:rsidR="00D63212" w:rsidRPr="00AD1760" w:rsidRDefault="00D63212" w:rsidP="00AD1760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lastRenderedPageBreak/>
        <w:t>International Calls and Minutes:</w:t>
      </w:r>
    </w:p>
    <w:p w14:paraId="015A89A4" w14:textId="77777777" w:rsidR="00D63212" w:rsidRPr="00AD1760" w:rsidRDefault="00D63212" w:rsidP="00AD1760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D1760">
        <w:rPr>
          <w:sz w:val="24"/>
          <w:szCs w:val="24"/>
        </w:rPr>
        <w:t>Customers making international calls have a churn rate of 22% compared to 28% for those who do not.</w:t>
      </w:r>
    </w:p>
    <w:p w14:paraId="095F09F6" w14:textId="77777777" w:rsidR="00D63212" w:rsidRPr="00AD1760" w:rsidRDefault="00D63212" w:rsidP="00AD1760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D1760">
        <w:rPr>
          <w:sz w:val="24"/>
          <w:szCs w:val="24"/>
        </w:rPr>
        <w:t>Customers using over 30 minutes of international calls per month have a churn rate of 15% compared to 27% for those using fewer minutes.</w:t>
      </w:r>
    </w:p>
    <w:p w14:paraId="1219D06F" w14:textId="51430E65" w:rsidR="00D63212" w:rsidRPr="00AD1760" w:rsidRDefault="00D63212" w:rsidP="00AD1760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Unlimited Data Plan:</w:t>
      </w:r>
    </w:p>
    <w:p w14:paraId="035DDE59" w14:textId="77777777" w:rsidR="00D63212" w:rsidRPr="00AD1760" w:rsidRDefault="00D63212" w:rsidP="00AD1760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D1760">
        <w:rPr>
          <w:sz w:val="24"/>
          <w:szCs w:val="24"/>
        </w:rPr>
        <w:t>Customers with unlimited data plans have a churn rate of 21% compared to 31% for those without such plans.</w:t>
      </w:r>
    </w:p>
    <w:p w14:paraId="4327B803" w14:textId="77777777" w:rsidR="00D63212" w:rsidRPr="00AD1760" w:rsidRDefault="00D63212" w:rsidP="00D63212">
      <w:p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Customer Service</w:t>
      </w:r>
    </w:p>
    <w:p w14:paraId="3E58B464" w14:textId="2365ADD3" w:rsidR="00D63212" w:rsidRPr="00AD1760" w:rsidRDefault="00D63212" w:rsidP="00AD1760">
      <w:pPr>
        <w:ind w:left="709"/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Customer Service Calls:</w:t>
      </w:r>
      <w:r w:rsidR="00AD1760" w:rsidRPr="00AD1760">
        <w:rPr>
          <w:sz w:val="24"/>
          <w:szCs w:val="24"/>
        </w:rPr>
        <w:t xml:space="preserve"> </w:t>
      </w:r>
      <w:r w:rsidRPr="00AD1760">
        <w:rPr>
          <w:sz w:val="24"/>
          <w:szCs w:val="24"/>
        </w:rPr>
        <w:t>Customers who made more than 4 calls to customer service have a churn rate of 45% compared to 20% for those making fewer calls.</w:t>
      </w:r>
    </w:p>
    <w:p w14:paraId="6C0D40E9" w14:textId="77777777" w:rsidR="00D63212" w:rsidRPr="00AD1760" w:rsidRDefault="00D63212" w:rsidP="00D63212">
      <w:p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Financials</w:t>
      </w:r>
    </w:p>
    <w:p w14:paraId="662628B0" w14:textId="61B00A13" w:rsidR="00D63212" w:rsidRPr="00D63212" w:rsidRDefault="00D63212" w:rsidP="00AD1760">
      <w:pPr>
        <w:ind w:left="709"/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Monthly Charges:</w:t>
      </w:r>
      <w:r w:rsidR="00AD1760">
        <w:rPr>
          <w:sz w:val="24"/>
          <w:szCs w:val="24"/>
        </w:rPr>
        <w:t xml:space="preserve"> </w:t>
      </w:r>
      <w:r w:rsidRPr="00D63212">
        <w:rPr>
          <w:sz w:val="24"/>
          <w:szCs w:val="24"/>
        </w:rPr>
        <w:t>Customers with monthly charges above $70 have a churn rate of 35% compared to 22% for those with lower charges.</w:t>
      </w:r>
    </w:p>
    <w:p w14:paraId="16900821" w14:textId="104B8EE5" w:rsidR="00D63212" w:rsidRPr="00D63212" w:rsidRDefault="00D63212" w:rsidP="00AD1760">
      <w:pPr>
        <w:ind w:left="709"/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Total Charges:</w:t>
      </w:r>
      <w:r w:rsidR="00AD1760">
        <w:rPr>
          <w:sz w:val="24"/>
          <w:szCs w:val="24"/>
        </w:rPr>
        <w:t xml:space="preserve"> No significant correlation exists</w:t>
      </w:r>
      <w:r w:rsidRPr="00D63212">
        <w:rPr>
          <w:sz w:val="24"/>
          <w:szCs w:val="24"/>
        </w:rPr>
        <w:t xml:space="preserve"> between total charges and churn rates.</w:t>
      </w:r>
    </w:p>
    <w:p w14:paraId="2E94A36B" w14:textId="77777777" w:rsidR="00D63212" w:rsidRPr="00AD1760" w:rsidRDefault="00D63212" w:rsidP="00D63212">
      <w:pPr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Contract and Payment</w:t>
      </w:r>
    </w:p>
    <w:p w14:paraId="4105C256" w14:textId="4400BE65" w:rsidR="00D63212" w:rsidRPr="00D63212" w:rsidRDefault="00D63212" w:rsidP="00AD1760">
      <w:pPr>
        <w:ind w:left="709"/>
        <w:jc w:val="both"/>
        <w:rPr>
          <w:sz w:val="24"/>
          <w:szCs w:val="24"/>
        </w:rPr>
      </w:pPr>
      <w:r w:rsidRPr="00AD1760">
        <w:rPr>
          <w:b/>
          <w:bCs/>
          <w:sz w:val="24"/>
          <w:szCs w:val="24"/>
        </w:rPr>
        <w:t>Contract Type:</w:t>
      </w:r>
      <w:r w:rsidR="00AD1760">
        <w:rPr>
          <w:sz w:val="24"/>
          <w:szCs w:val="24"/>
        </w:rPr>
        <w:t xml:space="preserve"> </w:t>
      </w:r>
      <w:r w:rsidRPr="00D63212">
        <w:rPr>
          <w:sz w:val="24"/>
          <w:szCs w:val="24"/>
        </w:rPr>
        <w:t>Month-to-month contracts have the highest churn rate at 40% compared to 12% for one-year contracts and 5% for two-year contracts.</w:t>
      </w:r>
    </w:p>
    <w:p w14:paraId="2BF33207" w14:textId="509A158A" w:rsidR="00D63212" w:rsidRPr="00AD1760" w:rsidRDefault="00D63212" w:rsidP="00AD1760">
      <w:pPr>
        <w:ind w:left="709"/>
        <w:jc w:val="both"/>
        <w:rPr>
          <w:b/>
          <w:bCs/>
          <w:sz w:val="24"/>
          <w:szCs w:val="24"/>
        </w:rPr>
      </w:pPr>
      <w:r w:rsidRPr="00AD1760">
        <w:rPr>
          <w:b/>
          <w:bCs/>
          <w:sz w:val="24"/>
          <w:szCs w:val="24"/>
        </w:rPr>
        <w:t>Payment Method:</w:t>
      </w:r>
      <w:r w:rsidR="00AD1760">
        <w:rPr>
          <w:b/>
          <w:bCs/>
          <w:sz w:val="24"/>
          <w:szCs w:val="24"/>
        </w:rPr>
        <w:t xml:space="preserve"> </w:t>
      </w:r>
      <w:r w:rsidRPr="00D63212">
        <w:rPr>
          <w:sz w:val="24"/>
          <w:szCs w:val="24"/>
        </w:rPr>
        <w:t>Customers paying via paper checks have a churn rate of 33%, which is higher than the 24% churn rate for those using direct debit or other methods.</w:t>
      </w:r>
    </w:p>
    <w:p w14:paraId="0DCD7815" w14:textId="77777777" w:rsidR="00D63212" w:rsidRPr="00D63212" w:rsidRDefault="00D63212" w:rsidP="00D63212">
      <w:pPr>
        <w:jc w:val="both"/>
        <w:rPr>
          <w:b/>
          <w:bCs/>
          <w:color w:val="4C94D8" w:themeColor="text2" w:themeTint="80"/>
          <w:sz w:val="32"/>
          <w:szCs w:val="32"/>
        </w:rPr>
      </w:pPr>
      <w:r w:rsidRPr="00D63212">
        <w:rPr>
          <w:b/>
          <w:bCs/>
          <w:color w:val="4C94D8" w:themeColor="text2" w:themeTint="80"/>
          <w:sz w:val="32"/>
          <w:szCs w:val="32"/>
        </w:rPr>
        <w:t>Conclusion</w:t>
      </w:r>
    </w:p>
    <w:p w14:paraId="28722FE0" w14:textId="32D60482" w:rsidR="00D63212" w:rsidRDefault="00AD1760" w:rsidP="00D63212">
      <w:pPr>
        <w:jc w:val="both"/>
        <w:rPr>
          <w:sz w:val="24"/>
          <w:szCs w:val="24"/>
        </w:rPr>
      </w:pPr>
      <w:r w:rsidRPr="00AD1760">
        <w:rPr>
          <w:sz w:val="24"/>
          <w:szCs w:val="24"/>
        </w:rPr>
        <w:t xml:space="preserve">By improving these areas, businesses can keep more customers. </w:t>
      </w:r>
      <w:r>
        <w:rPr>
          <w:sz w:val="24"/>
          <w:szCs w:val="24"/>
        </w:rPr>
        <w:t>T</w:t>
      </w:r>
      <w:r w:rsidRPr="00AD1760">
        <w:rPr>
          <w:sz w:val="24"/>
          <w:szCs w:val="24"/>
        </w:rPr>
        <w:t xml:space="preserve">hey can encourage frequent </w:t>
      </w:r>
      <w:r>
        <w:rPr>
          <w:sz w:val="24"/>
          <w:szCs w:val="24"/>
        </w:rPr>
        <w:t>service use</w:t>
      </w:r>
      <w:r w:rsidRPr="00AD1760">
        <w:rPr>
          <w:sz w:val="24"/>
          <w:szCs w:val="24"/>
        </w:rPr>
        <w:t>, improve customer support, offer flexible contracts, and provide convenient payment options. This way, customers are happier and less likely to leave.</w:t>
      </w:r>
    </w:p>
    <w:p w14:paraId="5430E90F" w14:textId="77777777" w:rsidR="00D63212" w:rsidRPr="00D63212" w:rsidRDefault="00D63212" w:rsidP="00D63212">
      <w:pPr>
        <w:jc w:val="both"/>
        <w:rPr>
          <w:b/>
          <w:bCs/>
          <w:color w:val="3A7C22" w:themeColor="accent6" w:themeShade="BF"/>
          <w:sz w:val="24"/>
          <w:szCs w:val="24"/>
        </w:rPr>
      </w:pPr>
      <w:r w:rsidRPr="00D63212">
        <w:rPr>
          <w:b/>
          <w:bCs/>
          <w:color w:val="3A7C22" w:themeColor="accent6" w:themeShade="BF"/>
          <w:sz w:val="32"/>
          <w:szCs w:val="32"/>
        </w:rPr>
        <w:t>Recommendations</w:t>
      </w:r>
    </w:p>
    <w:p w14:paraId="7369B764" w14:textId="77777777" w:rsidR="00D63212" w:rsidRPr="00D63212" w:rsidRDefault="00D63212" w:rsidP="00D63212">
      <w:pPr>
        <w:numPr>
          <w:ilvl w:val="0"/>
          <w:numId w:val="5"/>
        </w:num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Enhance Customer Service</w:t>
      </w:r>
      <w:r w:rsidRPr="00D63212">
        <w:rPr>
          <w:sz w:val="24"/>
          <w:szCs w:val="24"/>
        </w:rPr>
        <w:t>: Address issues leading to frequent customer service calls to improve satisfaction.</w:t>
      </w:r>
    </w:p>
    <w:p w14:paraId="39AD7A74" w14:textId="77777777" w:rsidR="00D63212" w:rsidRPr="00D63212" w:rsidRDefault="00D63212" w:rsidP="00D63212">
      <w:pPr>
        <w:numPr>
          <w:ilvl w:val="0"/>
          <w:numId w:val="5"/>
        </w:num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Promote Long-term Contracts</w:t>
      </w:r>
      <w:r w:rsidRPr="00D63212">
        <w:rPr>
          <w:sz w:val="24"/>
          <w:szCs w:val="24"/>
        </w:rPr>
        <w:t>: Encourage customers to switch to longer-term contracts to reduce churn.</w:t>
      </w:r>
    </w:p>
    <w:p w14:paraId="4F3F892F" w14:textId="77777777" w:rsidR="00D63212" w:rsidRPr="00D63212" w:rsidRDefault="00D63212" w:rsidP="00D63212">
      <w:pPr>
        <w:numPr>
          <w:ilvl w:val="0"/>
          <w:numId w:val="5"/>
        </w:num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Optimize Pricing</w:t>
      </w:r>
      <w:r w:rsidRPr="00D63212">
        <w:rPr>
          <w:sz w:val="24"/>
          <w:szCs w:val="24"/>
        </w:rPr>
        <w:t>: Review pricing strategies, especially for high-usage customers, to ensure competitive rates.</w:t>
      </w:r>
    </w:p>
    <w:p w14:paraId="7606AA34" w14:textId="6CAE9001" w:rsidR="00D63212" w:rsidRDefault="00D63212" w:rsidP="00D63212">
      <w:pPr>
        <w:numPr>
          <w:ilvl w:val="0"/>
          <w:numId w:val="5"/>
        </w:numPr>
        <w:jc w:val="both"/>
        <w:rPr>
          <w:sz w:val="24"/>
          <w:szCs w:val="24"/>
        </w:rPr>
      </w:pPr>
      <w:r w:rsidRPr="00D63212">
        <w:rPr>
          <w:b/>
          <w:bCs/>
          <w:sz w:val="24"/>
          <w:szCs w:val="24"/>
        </w:rPr>
        <w:t>Personalized Offers</w:t>
      </w:r>
      <w:r w:rsidRPr="00D63212">
        <w:rPr>
          <w:sz w:val="24"/>
          <w:szCs w:val="24"/>
        </w:rPr>
        <w:t>: Provide targeted offers and incentives to younger customers and those at higher risk of churn.</w:t>
      </w:r>
    </w:p>
    <w:p w14:paraId="11B38FB4" w14:textId="77777777" w:rsidR="009B2551" w:rsidRDefault="009B2551" w:rsidP="009B2551">
      <w:pPr>
        <w:jc w:val="both"/>
        <w:rPr>
          <w:sz w:val="24"/>
          <w:szCs w:val="24"/>
        </w:rPr>
      </w:pPr>
    </w:p>
    <w:p w14:paraId="02212B2C" w14:textId="77777777" w:rsidR="009B2551" w:rsidRPr="00AD1760" w:rsidRDefault="009B2551" w:rsidP="009B2551">
      <w:pPr>
        <w:jc w:val="both"/>
        <w:rPr>
          <w:sz w:val="24"/>
          <w:szCs w:val="24"/>
        </w:rPr>
      </w:pPr>
    </w:p>
    <w:sectPr w:rsidR="009B2551" w:rsidRPr="00AD1760" w:rsidSect="00D63212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36F33"/>
    <w:multiLevelType w:val="hybridMultilevel"/>
    <w:tmpl w:val="52C82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10DCE"/>
    <w:multiLevelType w:val="hybridMultilevel"/>
    <w:tmpl w:val="8752D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F7FAB"/>
    <w:multiLevelType w:val="multilevel"/>
    <w:tmpl w:val="2208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3A89"/>
    <w:multiLevelType w:val="hybridMultilevel"/>
    <w:tmpl w:val="B888C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668"/>
    <w:multiLevelType w:val="hybridMultilevel"/>
    <w:tmpl w:val="73307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D7C40"/>
    <w:multiLevelType w:val="hybridMultilevel"/>
    <w:tmpl w:val="109A2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5554E"/>
    <w:multiLevelType w:val="hybridMultilevel"/>
    <w:tmpl w:val="B08C8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C4D62"/>
    <w:multiLevelType w:val="hybridMultilevel"/>
    <w:tmpl w:val="BB40F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E3"/>
    <w:multiLevelType w:val="hybridMultilevel"/>
    <w:tmpl w:val="EF02A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18109">
    <w:abstractNumId w:val="6"/>
  </w:num>
  <w:num w:numId="2" w16cid:durableId="1662154892">
    <w:abstractNumId w:val="5"/>
  </w:num>
  <w:num w:numId="3" w16cid:durableId="1656949831">
    <w:abstractNumId w:val="0"/>
  </w:num>
  <w:num w:numId="4" w16cid:durableId="2105687962">
    <w:abstractNumId w:val="3"/>
  </w:num>
  <w:num w:numId="5" w16cid:durableId="1685672970">
    <w:abstractNumId w:val="2"/>
  </w:num>
  <w:num w:numId="6" w16cid:durableId="1129132763">
    <w:abstractNumId w:val="1"/>
  </w:num>
  <w:num w:numId="7" w16cid:durableId="1107387638">
    <w:abstractNumId w:val="7"/>
  </w:num>
  <w:num w:numId="8" w16cid:durableId="1198272486">
    <w:abstractNumId w:val="4"/>
  </w:num>
  <w:num w:numId="9" w16cid:durableId="1319067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0C"/>
    <w:rsid w:val="00172462"/>
    <w:rsid w:val="001A00CC"/>
    <w:rsid w:val="00367216"/>
    <w:rsid w:val="004A510C"/>
    <w:rsid w:val="005C303C"/>
    <w:rsid w:val="006635C2"/>
    <w:rsid w:val="0086620C"/>
    <w:rsid w:val="009667AA"/>
    <w:rsid w:val="00993BAD"/>
    <w:rsid w:val="009B2551"/>
    <w:rsid w:val="00AD1760"/>
    <w:rsid w:val="00D63212"/>
    <w:rsid w:val="00E7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DA5DB"/>
  <w15:docId w15:val="{5FBA53F7-546A-4075-B48E-53B8B140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6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6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583</Words>
  <Characters>3217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 V T</cp:lastModifiedBy>
  <cp:revision>4</cp:revision>
  <cp:lastPrinted>2025-02-04T06:37:00Z</cp:lastPrinted>
  <dcterms:created xsi:type="dcterms:W3CDTF">2024-06-09T13:55:00Z</dcterms:created>
  <dcterms:modified xsi:type="dcterms:W3CDTF">2025-02-04T06:38:00Z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cd0bcfe6-f3b3-47a7-b02e-88dba18e0a55</vt:lpwstr>
  </property>
</Properties>
</file>