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200"/>
      </w:pPr>
    </w:p>
    <w:p>
      <w:pPr>
        <w:spacing w:after="80" w:before="0" w:line="276"/>
        <w:jc w:val="center"/>
      </w:pPr>
      <w:r>
        <w:rPr>
          <w:rFonts w:ascii="Arial" w:cs="Arial" w:eastAsia="Arial" w:hAnsi="Arial"/>
          <w:b/>
          <w:bCs/>
          <w:color w:val="1B4F72"/>
          <w:sz w:val="44"/>
          <w:szCs w:val="44"/>
        </w:rPr>
        <w:t xml:space="preserve">ADA WEALTH COPILOT</w:t>
      </w:r>
    </w:p>
    <w:p>
      <w:pPr>
        <w:pBdr>
          <w:bottom w:val="single" w:color="1B4F72" w:sz="8" w:space="8"/>
        </w:pBdr>
        <w:spacing w:after="240"/>
        <w:jc w:val="center"/>
      </w:pPr>
    </w:p>
    <w:p>
      <w:pPr>
        <w:spacing w:after="60" w:before="0" w:line="276"/>
        <w:jc w:val="center"/>
      </w:pPr>
      <w:r>
        <w:rPr>
          <w:rFonts w:ascii="Arial" w:cs="Arial" w:eastAsia="Arial" w:hAnsi="Arial"/>
          <w:color w:val="2C3E50"/>
          <w:sz w:val="32"/>
          <w:szCs w:val="32"/>
        </w:rPr>
        <w:t xml:space="preserve">Twelve Data GCC Provider Integration</w:t>
      </w:r>
    </w:p>
    <w:p>
      <w:pPr>
        <w:spacing w:after="120" w:before="0" w:line="276"/>
        <w:jc w:val="center"/>
      </w:pPr>
      <w:r>
        <w:rPr>
          <w:rFonts w:ascii="Arial" w:cs="Arial" w:eastAsia="Arial" w:hAnsi="Arial"/>
          <w:color w:val="2C3E50"/>
          <w:sz w:val="32"/>
          <w:szCs w:val="32"/>
        </w:rPr>
        <w:t xml:space="preserve">&amp; Orchestration Design</w:t>
      </w:r>
    </w:p>
    <w:p>
      <w:pPr>
        <w:spacing w:after="500" w:before="0" w:line="276"/>
        <w:jc w:val="center"/>
      </w:pPr>
      <w:r>
        <w:rPr>
          <w:rFonts w:ascii="Arial" w:cs="Arial" w:eastAsia="Arial" w:hAnsi="Arial"/>
          <w:color w:val="777777"/>
          <w:sz w:val="24"/>
          <w:szCs w:val="24"/>
        </w:rPr>
        <w:t xml:space="preserve">v2.0 — Final Implementation Reference for Replit</w:t>
      </w:r>
    </w:p>
    <w:p>
      <w:pPr>
        <w:spacing w:after="500" w:before="0" w:line="320"/>
        <w:jc w:val="center"/>
      </w:pPr>
      <w:r>
        <w:rPr>
          <w:rFonts w:ascii="Arial" w:cs="Arial" w:eastAsia="Arial" w:hAnsi="Arial"/>
          <w:color w:val="555555"/>
          <w:sz w:val="21"/>
          <w:szCs w:val="21"/>
        </w:rPr>
        <w:t xml:space="preserve">Comprehensive architecture for live GCC market data coverage across DFM, ADX, and Tadawul exchanges, with multi-provider fallback orchestration, structured symbol normalization, and AI-aware tool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19"/>
                <w:szCs w:val="19"/>
              </w:rPr>
              <w:t xml:space="preserve"/>
            </w:r>
          </w:p>
        </w:tc>
        <w:tc>
          <w:tcPr>
            <w:tcW w:type="dxa" w:w="61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19"/>
                <w:szCs w:val="19"/>
              </w:rPr>
              <w:t xml:space="preserve"/>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Document Version</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2.0 — Final</w:t>
            </w:r>
          </w:p>
        </w:tc>
      </w:tr>
      <w:tr>
        <w:tc>
          <w:tcPr>
            <w:tcW w:type="dxa" w:w="3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Date</w:t>
            </w:r>
          </w:p>
        </w:tc>
        <w:tc>
          <w:tcPr>
            <w:tcW w:type="dxa" w:w="61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1 April 2026</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Classification</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Internal — Optimus / ENBD</w:t>
            </w:r>
          </w:p>
        </w:tc>
      </w:tr>
      <w:tr>
        <w:tc>
          <w:tcPr>
            <w:tcW w:type="dxa" w:w="3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Status</w:t>
            </w:r>
          </w:p>
        </w:tc>
        <w:tc>
          <w:tcPr>
            <w:tcW w:type="dxa" w:w="61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Design Complete — Pre-Implementation</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Companion Artifacts</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twelveData.ts, symbolNormalizer.ts, registryPatch.diff</w:t>
            </w:r>
          </w:p>
        </w:tc>
      </w:tr>
      <w:tr>
        <w:tc>
          <w:tcPr>
            <w:tcW w:type="dxa" w:w="3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Audit Basis</w:t>
            </w:r>
          </w:p>
        </w:tc>
        <w:tc>
          <w:tcPr>
            <w:tcW w:type="dxa" w:w="61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REPL_twelve-data-integration-readiness-audit_2026-04-01</w:t>
            </w:r>
          </w:p>
        </w:tc>
      </w:tr>
    </w:tbl>
    <w:p>
      <w:r>
        <w:br w:type="page"/>
      </w:r>
    </w:p>
    <w:p>
      <w:pPr>
        <w:sectPr>
          <w:pgSz w:w="12240" w:h="15840" w:orient="portrait"/>
          <w:pgMar w:top="1440" w:right="1440" w:bottom="1440" w:left="1440" w:header="708" w:footer="708" w:gutter="0"/>
          <w:pgNumType/>
          <w:docGrid w:linePitch="360"/>
        </w:sectPr>
      </w:pPr>
    </w:p>
    <w:p>
      <w:pPr>
        <w:spacing w:after="300" w:before="0" w:line="276"/>
      </w:pPr>
      <w:r>
        <w:rPr>
          <w:rFonts w:ascii="Arial" w:cs="Arial" w:eastAsia="Arial" w:hAnsi="Arial"/>
          <w:b/>
          <w:bCs/>
          <w:color w:val="1B4F72"/>
          <w:sz w:val="30"/>
          <w:szCs w:val="30"/>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80"/>
      </w:pPr>
      <w:r>
        <w:rPr>
          <w:rFonts w:ascii="Arial" w:cs="Arial" w:eastAsia="Arial" w:hAnsi="Arial"/>
        </w:rPr>
        <w:t xml:space="preserve">1. Executive Context</w:t>
      </w:r>
    </w:p>
    <w:p>
      <w:pPr>
        <w:pStyle w:val="Heading2"/>
        <w:spacing w:after="180" w:before="280"/>
      </w:pPr>
      <w:r>
        <w:rPr>
          <w:rFonts w:ascii="Arial" w:cs="Arial" w:eastAsia="Arial" w:hAnsi="Arial"/>
        </w:rPr>
        <w:t xml:space="preserve">1.1 Problem Statement</w:t>
      </w:r>
    </w:p>
    <w:p>
      <w:pPr>
        <w:spacing w:after="160" w:before="0" w:line="276"/>
      </w:pPr>
      <w:r>
        <w:rPr>
          <w:rFonts w:ascii="Arial" w:cs="Arial" w:eastAsia="Arial" w:hAnsi="Arial"/>
          <w:sz w:val="22"/>
          <w:szCs w:val="22"/>
        </w:rPr>
        <w:t xml:space="preserve">Ada’s GCC market data coverage has a critical gap. The five GCC instruments in the demo portfolio (Emaar Properties, First Abu Dhabi Bank, ADNOC Distribution, Saudi Aramco, STC) return zero live data from any configured provider. When a demo user asks “What’s the current price of Emaar?”, Finnhub returns c:0 (no data for GCC exchanges), Yahoo Finance throws an exception (unknown symbol), and the system falls through to mock seed data that was written at development time. The LLM either returns stale mock numbers or says “I don’t have live price data.” This undermines Ada’s core value proposition as an intelligent wealth copilot for the ENBD demo.</w:t>
      </w:r>
    </w:p>
    <w:p>
      <w:pPr>
        <w:spacing w:after="160" w:before="0" w:line="276"/>
      </w:pPr>
      <w:r>
        <w:rPr>
          <w:rFonts w:ascii="Arial" w:cs="Arial" w:eastAsia="Arial" w:hAnsi="Arial"/>
          <w:sz w:val="22"/>
          <w:szCs w:val="22"/>
        </w:rPr>
        <w:t xml:space="preserve">The root cause is three-fold:</w:t>
      </w:r>
    </w:p>
    <w:p>
      <w:pPr>
        <w:pStyle w:val="ListParagraph"/>
        <w:numPr>
          <w:ilvl w:val="0"/>
          <w:numId w:val="2"/>
        </w:numPr>
        <w:spacing w:after="100"/>
      </w:pPr>
      <w:r>
        <w:rPr>
          <w:rFonts w:ascii="Arial" w:cs="Arial" w:eastAsia="Arial" w:hAnsi="Arial"/>
          <w:b/>
          <w:bCs/>
          <w:sz w:val="22"/>
          <w:szCs w:val="22"/>
        </w:rPr>
        <w:t xml:space="preserve">No provider covers GCC exchanges. </w:t>
      </w:r>
      <w:r>
        <w:rPr>
          <w:rFonts w:ascii="Arial" w:cs="Arial" w:eastAsia="Arial" w:hAnsi="Arial"/>
          <w:sz w:val="22"/>
          <w:szCs w:val="22"/>
        </w:rPr>
        <w:t xml:space="preserve">Neither Finnhub nor Yahoo Finance supports DFM (Dubai Financial Market), ADX (Abu Dhabi Securities Exchange), or Tadawul (Saudi Stock Exchange). This is a coverage gap, not a bug.</w:t>
      </w:r>
    </w:p>
    <w:p>
      <w:pPr>
        <w:pStyle w:val="ListParagraph"/>
        <w:numPr>
          <w:ilvl w:val="0"/>
          <w:numId w:val="2"/>
        </w:numPr>
        <w:spacing w:after="100"/>
      </w:pPr>
      <w:r>
        <w:rPr>
          <w:rFonts w:ascii="Arial" w:cs="Arial" w:eastAsia="Arial" w:hAnsi="Arial"/>
          <w:b/>
          <w:bCs/>
          <w:sz w:val="22"/>
          <w:szCs w:val="22"/>
        </w:rPr>
        <w:t xml:space="preserve">No symbol normalization layer. </w:t>
      </w:r>
      <w:r>
        <w:rPr>
          <w:rFonts w:ascii="Arial" w:cs="Arial" w:eastAsia="Arial" w:hAnsi="Arial"/>
          <w:sz w:val="22"/>
          <w:szCs w:val="22"/>
        </w:rPr>
        <w:t xml:space="preserve">Ada stores bare tickers (EMAAR, FAB) in the instruments table alongside an exchange column (DFM, ADX), but no code translates these two fields into a provider-specific format. The bare ticker is sent directly to the API, which cannot resolve it.</w:t>
      </w:r>
    </w:p>
    <w:p>
      <w:pPr>
        <w:pStyle w:val="ListParagraph"/>
        <w:numPr>
          <w:ilvl w:val="0"/>
          <w:numId w:val="2"/>
        </w:numPr>
        <w:spacing w:after="100"/>
      </w:pPr>
      <w:r>
        <w:rPr>
          <w:rFonts w:ascii="Arial" w:cs="Arial" w:eastAsia="Arial" w:hAnsi="Arial"/>
          <w:b/>
          <w:bCs/>
          <w:sz w:val="22"/>
          <w:szCs w:val="22"/>
        </w:rPr>
        <w:t xml:space="preserve">US-centric AI grounding. </w:t>
      </w:r>
      <w:r>
        <w:rPr>
          <w:rFonts w:ascii="Arial" w:cs="Arial" w:eastAsia="Arial" w:hAnsi="Arial"/>
          <w:sz w:val="22"/>
          <w:szCs w:val="22"/>
        </w:rPr>
        <w:t xml:space="preserve">The LLM’s tool descriptions and system prompt reference only US equity examples (AAPL, NVDA, BTC) and explicitly state that quotes come from Finnhub. The model has no signal that GCC tickers are valid targets for the getQuotes tool.</w:t>
      </w:r>
    </w:p>
    <w:p>
      <w:pPr>
        <w:pStyle w:val="Heading2"/>
        <w:spacing w:after="180" w:before="280"/>
      </w:pPr>
      <w:r>
        <w:rPr>
          <w:rFonts w:ascii="Arial" w:cs="Arial" w:eastAsia="Arial" w:hAnsi="Arial"/>
        </w:rPr>
        <w:t xml:space="preserve">1.2 Why Twelve Data</w:t>
      </w:r>
    </w:p>
    <w:p>
      <w:pPr>
        <w:spacing w:after="160" w:before="0" w:line="276"/>
      </w:pPr>
      <w:r>
        <w:rPr>
          <w:rFonts w:ascii="Arial" w:cs="Arial" w:eastAsia="Arial" w:hAnsi="Arial"/>
          <w:sz w:val="22"/>
          <w:szCs w:val="22"/>
        </w:rPr>
        <w:t xml:space="preserve">Twelve Data provides verified API coverage for all three target GCC exchanges alongside comprehensive US and global coverage. The API supports two symbol addressing modes — colon notation for batch requests (EMAAR:DFM) and separate exchange/mic_code/country parameters for single-symbol endpoints — both of which map directly to Ada’s existing instruments table structure. Twelve Data also supports batch requests (up to 120 symbols per call), full fundamentals (profile, earnings, financials), 100+ technical indicators, and real-time WebSocket streaming on higher-tier plans.</w:t>
      </w:r>
    </w:p>
    <w:p>
      <w:pPr>
        <w:spacing w:after="160" w:before="0" w:line="276"/>
      </w:pPr>
      <w:r>
        <w:rPr>
          <w:rFonts w:ascii="Arial" w:cs="Arial" w:eastAsia="Arial" w:hAnsi="Arial"/>
          <w:sz w:val="22"/>
          <w:szCs w:val="22"/>
        </w:rPr>
        <w:t xml:space="preserve">Critically, Twelve Data’s endpoint model maps one-to-one to Ada’s four MarketProvider interface methods: /quote maps to getQuotes, /time_series maps to getHistoricalPrices, /profile maps to getCompanyProfile, and /earnings_calendar maps to getEarningsCalendar. No adapter gymnastics are needed.</w:t>
      </w:r>
    </w:p>
    <w:p>
      <w:pPr>
        <w:pStyle w:val="Heading2"/>
        <w:spacing w:after="180" w:before="280"/>
      </w:pPr>
      <w:r>
        <w:rPr>
          <w:rFonts w:ascii="Arial" w:cs="Arial" w:eastAsia="Arial" w:hAnsi="Arial"/>
        </w:rPr>
        <w:t xml:space="preserve">1.3 Design Principles</w:t>
      </w:r>
    </w:p>
    <w:p>
      <w:pPr>
        <w:pStyle w:val="ListParagraph"/>
        <w:numPr>
          <w:ilvl w:val="0"/>
          <w:numId w:val="3"/>
        </w:numPr>
        <w:spacing w:after="100"/>
      </w:pPr>
      <w:r>
        <w:rPr>
          <w:rFonts w:ascii="Arial" w:cs="Arial" w:eastAsia="Arial" w:hAnsi="Arial"/>
          <w:b/>
          <w:bCs/>
          <w:sz w:val="22"/>
          <w:szCs w:val="22"/>
        </w:rPr>
        <w:t xml:space="preserve">Do not change Ada’s orchestration model. </w:t>
      </w:r>
      <w:r>
        <w:rPr>
          <w:rFonts w:ascii="Arial" w:cs="Arial" w:eastAsia="Arial" w:hAnsi="Arial"/>
          <w:sz w:val="22"/>
          <w:szCs w:val="22"/>
        </w:rPr>
        <w:t xml:space="preserve">The request path (chat UI → agentOrchestrator → intent classification → lane routing → tool call → provider dispatch → SSE response) is production-shaped and should not be reworked for this integration.</w:t>
      </w:r>
    </w:p>
    <w:p>
      <w:pPr>
        <w:pStyle w:val="ListParagraph"/>
        <w:numPr>
          <w:ilvl w:val="0"/>
          <w:numId w:val="3"/>
        </w:numPr>
        <w:spacing w:after="100"/>
      </w:pPr>
      <w:r>
        <w:rPr>
          <w:rFonts w:ascii="Arial" w:cs="Arial" w:eastAsia="Arial" w:hAnsi="Arial"/>
          <w:b/>
          <w:bCs/>
          <w:sz w:val="22"/>
          <w:szCs w:val="22"/>
        </w:rPr>
        <w:t xml:space="preserve">Do not add Python into the runtime. </w:t>
      </w:r>
      <w:r>
        <w:rPr>
          <w:rFonts w:ascii="Arial" w:cs="Arial" w:eastAsia="Arial" w:hAnsi="Arial"/>
          <w:sz w:val="22"/>
          <w:szCs w:val="22"/>
        </w:rPr>
        <w:t xml:space="preserve">The Twelve Data Python SDK is useful for capability mapping, but Ada’s backend is Node/TypeScript. Mirror the SDK’s endpoint model over REST in a TypeScript provider.</w:t>
      </w:r>
    </w:p>
    <w:p>
      <w:pPr>
        <w:pStyle w:val="ListParagraph"/>
        <w:numPr>
          <w:ilvl w:val="0"/>
          <w:numId w:val="3"/>
        </w:numPr>
        <w:spacing w:after="100"/>
      </w:pPr>
      <w:r>
        <w:rPr>
          <w:rFonts w:ascii="Arial" w:cs="Arial" w:eastAsia="Arial" w:hAnsi="Arial"/>
          <w:b/>
          <w:bCs/>
          <w:sz w:val="22"/>
          <w:szCs w:val="22"/>
        </w:rPr>
        <w:t xml:space="preserve">Solve symbol normalization as the core abstraction. </w:t>
      </w:r>
      <w:r>
        <w:rPr>
          <w:rFonts w:ascii="Arial" w:cs="Arial" w:eastAsia="Arial" w:hAnsi="Arial"/>
          <w:sz w:val="22"/>
          <w:szCs w:val="22"/>
        </w:rPr>
        <w:t xml:space="preserve">This is the actual integration work. Everything else is wiring.</w:t>
      </w:r>
    </w:p>
    <w:p>
      <w:pPr>
        <w:pStyle w:val="ListParagraph"/>
        <w:numPr>
          <w:ilvl w:val="0"/>
          <w:numId w:val="3"/>
        </w:numPr>
        <w:spacing w:after="100"/>
      </w:pPr>
      <w:r>
        <w:rPr>
          <w:rFonts w:ascii="Arial" w:cs="Arial" w:eastAsia="Arial" w:hAnsi="Arial"/>
          <w:b/>
          <w:bCs/>
          <w:sz w:val="22"/>
          <w:szCs w:val="22"/>
        </w:rPr>
        <w:t xml:space="preserve">Keep the existing fallback chain. </w:t>
      </w:r>
      <w:r>
        <w:rPr>
          <w:rFonts w:ascii="Arial" w:cs="Arial" w:eastAsia="Arial" w:hAnsi="Arial"/>
          <w:sz w:val="22"/>
          <w:szCs w:val="22"/>
        </w:rPr>
        <w:t xml:space="preserve">Twelve Data becomes primary; Finnhub, Yahoo Finance, and Mock remain as fallbacks in order.</w:t>
      </w:r>
    </w:p>
    <w:p>
      <w:pPr>
        <w:pStyle w:val="ListParagraph"/>
        <w:numPr>
          <w:ilvl w:val="0"/>
          <w:numId w:val="3"/>
        </w:numPr>
        <w:spacing w:after="100"/>
      </w:pPr>
      <w:r>
        <w:rPr>
          <w:rFonts w:ascii="Arial" w:cs="Arial" w:eastAsia="Arial" w:hAnsi="Arial"/>
          <w:b/>
          <w:bCs/>
          <w:sz w:val="22"/>
          <w:szCs w:val="22"/>
        </w:rPr>
        <w:t xml:space="preserve">Teach the LLM and UI that GCC tickers are first-class citizens. </w:t>
      </w:r>
      <w:r>
        <w:rPr>
          <w:rFonts w:ascii="Arial" w:cs="Arial" w:eastAsia="Arial" w:hAnsi="Arial"/>
          <w:sz w:val="22"/>
          <w:szCs w:val="22"/>
        </w:rPr>
        <w:t xml:space="preserve">Tool descriptions, system prompt, and response formatting must all reflect GCC coverage.</w:t>
      </w:r>
    </w:p>
    <w:p>
      <w:pPr>
        <w:pStyle w:val="Heading2"/>
        <w:spacing w:after="180" w:before="280"/>
      </w:pPr>
      <w:r>
        <w:rPr>
          <w:rFonts w:ascii="Arial" w:cs="Arial" w:eastAsia="Arial" w:hAnsi="Arial"/>
        </w:rPr>
        <w:t xml:space="preserve">1.4 Scope</w:t>
      </w:r>
    </w:p>
    <w:p>
      <w:pPr>
        <w:spacing w:after="160" w:before="0" w:line="276"/>
      </w:pPr>
      <w:r>
        <w:rPr>
          <w:rFonts w:ascii="Arial" w:cs="Arial" w:eastAsia="Arial" w:hAnsi="Arial"/>
          <w:sz w:val="22"/>
          <w:szCs w:val="22"/>
        </w:rPr>
        <w:t xml:space="preserve">This document provides the complete implementation reference for Replit to integrate Twelve Data as Ada’s primary market data provider. It covers: the provider adapter (server/providers/twelveData.ts), the symbol normalization module (server/providers/symbolNormalizer.ts), the provider registry patch (registry.ts), AI orchestration updates (tool descriptions and system prompts), rate limiting and cost management, multi-currency handling for AED/SAR, batch API optimization, cache strategy, response normalization, Twelve Data attribution compliance, Discover pipeline and Morning Sentinel implications, and a phased implementation plan with file-level change specifications.</w:t>
      </w:r>
    </w:p>
    <w:p>
      <w:pPr>
        <w:spacing w:after="160" w:before="0" w:line="276"/>
      </w:pPr>
      <w:r>
        <w:rPr>
          <w:rFonts w:ascii="Arial" w:cs="Arial" w:eastAsia="Arial" w:hAnsi="Arial"/>
          <w:sz w:val="22"/>
          <w:szCs w:val="22"/>
        </w:rPr>
        <w:t xml:space="preserve">Every design decision traces to a specific finding in the integration readiness audit (referenced as F-01 through F-10 and B-01 through B-05 throughout).</w:t>
      </w:r>
    </w:p>
    <w:p>
      <w:r>
        <w:br w:type="page"/>
      </w:r>
    </w:p>
    <w:p>
      <w:pPr>
        <w:pStyle w:val="Heading2"/>
        <w:spacing w:after="180" w:before="280"/>
      </w:pPr>
      <w:r>
        <w:rPr>
          <w:rFonts w:ascii="Arial" w:cs="Arial" w:eastAsia="Arial" w:hAnsi="Arial"/>
        </w:rPr>
        <w:t xml:space="preserve">1.5 Audit Finding Traceability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760"/>
        <w:gridCol w:w="3800"/>
      </w:tblGrid>
      <w:tr>
        <w:trPr>
          <w:tblHeader/>
        </w:trPr>
        <w:tc>
          <w:tcPr>
            <w:tcW w:type="dxa" w:w="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19"/>
                <w:szCs w:val="19"/>
              </w:rPr>
              <w:t xml:space="preserve">Finding</w:t>
            </w:r>
          </w:p>
        </w:tc>
        <w:tc>
          <w:tcPr>
            <w:tcW w:type="dxa" w:w="47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19"/>
                <w:szCs w:val="19"/>
              </w:rPr>
              <w:t xml:space="preserve">Description</w:t>
            </w:r>
          </w:p>
        </w:tc>
        <w:tc>
          <w:tcPr>
            <w:tcW w:type="dxa" w:w="3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19"/>
                <w:szCs w:val="19"/>
              </w:rPr>
              <w:t xml:space="preserve">Resolved In</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F-01</w:t>
            </w:r>
          </w:p>
        </w:tc>
        <w:tc>
          <w:tcPr>
            <w:tcW w:type="dxa" w:w="4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GCC instruments exist in DB but no live provider can price them</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§2 Provider Adapter</w:t>
            </w:r>
          </w:p>
        </w:tc>
      </w:tr>
      <w:tr>
        <w:tc>
          <w:tcPr>
            <w:tcW w:type="dxa" w:w="8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F-02</w:t>
            </w:r>
          </w:p>
        </w:tc>
        <w:tc>
          <w:tcPr>
            <w:tcW w:type="dxa" w:w="47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Finnhub returns c:0 for EMAAR; Yahoo Finance throws</w:t>
            </w:r>
          </w:p>
        </w:tc>
        <w:tc>
          <w:tcPr>
            <w:tcW w:type="dxa" w:w="38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§2 Provider Adapter</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F-03</w:t>
            </w:r>
          </w:p>
        </w:tc>
        <w:tc>
          <w:tcPr>
            <w:tcW w:type="dxa" w:w="4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No symbol normalization/mapping layer exists in codebase</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§3 Symbol Normalization</w:t>
            </w:r>
          </w:p>
        </w:tc>
      </w:tr>
      <w:tr>
        <w:tc>
          <w:tcPr>
            <w:tcW w:type="dxa" w:w="8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F-04</w:t>
            </w:r>
          </w:p>
        </w:tc>
        <w:tc>
          <w:tcPr>
            <w:tcW w:type="dxa" w:w="47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instruments table stores symbol + exchange separately</w:t>
            </w:r>
          </w:p>
        </w:tc>
        <w:tc>
          <w:tcPr>
            <w:tcW w:type="dxa" w:w="38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§3 Symbol Normalization</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F-05</w:t>
            </w:r>
          </w:p>
        </w:tc>
        <w:tc>
          <w:tcPr>
            <w:tcW w:type="dxa" w:w="4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Provider fallback chain is production-grade</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§4 Fallback Chain</w:t>
            </w:r>
          </w:p>
        </w:tc>
      </w:tr>
      <w:tr>
        <w:tc>
          <w:tcPr>
            <w:tcW w:type="dxa" w:w="8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F-06</w:t>
            </w:r>
          </w:p>
        </w:tc>
        <w:tc>
          <w:tcPr>
            <w:tcW w:type="dxa" w:w="47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Cache TTL (120s) needs review for Twelve Data tiers</w:t>
            </w:r>
          </w:p>
        </w:tc>
        <w:tc>
          <w:tcPr>
            <w:tcW w:type="dxa" w:w="38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§5 Caching</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F-07</w:t>
            </w:r>
          </w:p>
        </w:tc>
        <w:tc>
          <w:tcPr>
            <w:tcW w:type="dxa" w:w="4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MarketProvider interface has exactly 4 methods</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§2 Provider Adapter</w:t>
            </w:r>
          </w:p>
        </w:tc>
      </w:tr>
      <w:tr>
        <w:tc>
          <w:tcPr>
            <w:tcW w:type="dxa" w:w="8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F-08</w:t>
            </w:r>
          </w:p>
        </w:tc>
        <w:tc>
          <w:tcPr>
            <w:tcW w:type="dxa" w:w="47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Tool descriptions use US-only examples</w:t>
            </w:r>
          </w:p>
        </w:tc>
        <w:tc>
          <w:tcPr>
            <w:tcW w:type="dxa" w:w="38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§6 AI Orchestration</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F-09</w:t>
            </w:r>
          </w:p>
        </w:tc>
        <w:tc>
          <w:tcPr>
            <w:tcW w:type="dxa" w:w="4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System prompt hardcodes ‘from Finnhub’</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§6 AI Orchestration</w:t>
            </w:r>
          </w:p>
        </w:tc>
      </w:tr>
      <w:tr>
        <w:tc>
          <w:tcPr>
            <w:tcW w:type="dxa" w:w="8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F-10</w:t>
            </w:r>
          </w:p>
        </w:tc>
        <w:tc>
          <w:tcPr>
            <w:tcW w:type="dxa" w:w="47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market_quotes UNIQUE(symbol, source_provider) is safe</w:t>
            </w:r>
          </w:p>
        </w:tc>
        <w:tc>
          <w:tcPr>
            <w:tcW w:type="dxa" w:w="38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§2.5 Data Persistence</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B-01</w:t>
            </w:r>
          </w:p>
        </w:tc>
        <w:tc>
          <w:tcPr>
            <w:tcW w:type="dxa" w:w="4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No symbol normalization (critical blocker)</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§3 Symbol Normalization</w:t>
            </w:r>
          </w:p>
        </w:tc>
      </w:tr>
      <w:tr>
        <w:tc>
          <w:tcPr>
            <w:tcW w:type="dxa" w:w="8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B-02</w:t>
            </w:r>
          </w:p>
        </w:tc>
        <w:tc>
          <w:tcPr>
            <w:tcW w:type="dxa" w:w="47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No TWELVE_DATA_API_KEY or provider file</w:t>
            </w:r>
          </w:p>
        </w:tc>
        <w:tc>
          <w:tcPr>
            <w:tcW w:type="dxa" w:w="38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§2 Provider Adapter</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B-03</w:t>
            </w:r>
          </w:p>
        </w:tc>
        <w:tc>
          <w:tcPr>
            <w:tcW w:type="dxa" w:w="4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LLM may not call getQuotes for GCC tickers</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§6 AI Orchestration</w:t>
            </w:r>
          </w:p>
        </w:tc>
      </w:tr>
      <w:tr>
        <w:tc>
          <w:tcPr>
            <w:tcW w:type="dxa" w:w="8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B-04</w:t>
            </w:r>
          </w:p>
        </w:tc>
        <w:tc>
          <w:tcPr>
            <w:tcW w:type="dxa" w:w="47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Rate limit mismatch (8/min free vs 55/min Finnhub)</w:t>
            </w:r>
          </w:p>
        </w:tc>
        <w:tc>
          <w:tcPr>
            <w:tcW w:type="dxa" w:w="38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§5 Rate Limits &amp; Cost</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B-05</w:t>
            </w:r>
          </w:p>
        </w:tc>
        <w:tc>
          <w:tcPr>
            <w:tcW w:type="dxa" w:w="4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Currency handling untested for AED/SAR</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§7 Currency Handling</w:t>
            </w:r>
          </w:p>
        </w:tc>
      </w:tr>
    </w:tbl>
    <w:p>
      <w:r>
        <w:br w:type="page"/>
      </w:r>
    </w:p>
    <w:p>
      <w:pPr>
        <w:pStyle w:val="Heading1"/>
        <w:spacing w:after="200" w:before="380"/>
      </w:pPr>
      <w:r>
        <w:rPr>
          <w:rFonts w:ascii="Arial" w:cs="Arial" w:eastAsia="Arial" w:hAnsi="Arial"/>
        </w:rPr>
        <w:t xml:space="preserve">2. Twelve Data Provider Adapter</w:t>
      </w:r>
    </w:p>
    <w:p>
      <w:pPr>
        <w:pStyle w:val="Heading2"/>
        <w:spacing w:after="180" w:before="280"/>
      </w:pPr>
      <w:r>
        <w:rPr>
          <w:rFonts w:ascii="Arial" w:cs="Arial" w:eastAsia="Arial" w:hAnsi="Arial"/>
        </w:rPr>
        <w:t xml:space="preserve">2.1 File &amp; Registration</w:t>
      </w:r>
    </w:p>
    <w:p>
      <w:pPr>
        <w:spacing w:after="160" w:before="0" w:line="276"/>
      </w:pPr>
      <w:r>
        <w:rPr>
          <w:rFonts w:ascii="Arial" w:cs="Arial" w:eastAsia="Arial" w:hAnsi="Arial"/>
          <w:b/>
          <w:bCs/>
          <w:sz w:val="22"/>
          <w:szCs w:val="22"/>
        </w:rPr>
        <w:t xml:space="preserve">New file: </w:t>
      </w:r>
      <w:r>
        <w:rPr>
          <w:rFonts w:ascii="Arial" w:cs="Arial" w:eastAsia="Arial" w:hAnsi="Arial"/>
          <w:sz w:val="22"/>
          <w:szCs w:val="22"/>
        </w:rPr>
        <w:t xml:space="preserve">server/providers/twelveData.ts</w:t>
      </w:r>
    </w:p>
    <w:p>
      <w:pPr>
        <w:spacing w:after="160" w:before="0" w:line="276"/>
      </w:pPr>
      <w:r>
        <w:rPr>
          <w:rFonts w:ascii="Arial" w:cs="Arial" w:eastAsia="Arial" w:hAnsi="Arial"/>
          <w:b/>
          <w:bCs/>
          <w:sz w:val="22"/>
          <w:szCs w:val="22"/>
        </w:rPr>
        <w:t xml:space="preserve">Registration: </w:t>
      </w:r>
      <w:r>
        <w:rPr>
          <w:rFonts w:ascii="Arial" w:cs="Arial" w:eastAsia="Arial" w:hAnsi="Arial"/>
          <w:sz w:val="22"/>
          <w:szCs w:val="22"/>
        </w:rPr>
        <w:t xml:space="preserve">Add a single case statement to resolveMarketProvider() in server/providers/registry.ts:</w:t>
      </w:r>
    </w:p>
    <w:p>
      <w:pPr>
        <w:pBdr>
          <w:left w:val="single" w:color="1B4F72" w:sz="6" w:space="4"/>
        </w:pBdr>
        <w:shd w:fill="F8F9FA" w:val="clear"/>
        <w:spacing w:after="40" w:before="40"/>
        <w:ind w:left="360"/>
      </w:pPr>
      <w:r>
        <w:rPr>
          <w:rFonts w:ascii="Courier New" w:cs="Courier New" w:eastAsia="Courier New" w:hAnsi="Courier New"/>
          <w:color w:val="2C3E50"/>
          <w:sz w:val="17"/>
          <w:szCs w:val="17"/>
        </w:rPr>
        <w:t xml:space="preserve">case 'twelve_data':</w:t>
      </w:r>
    </w:p>
    <w:p>
      <w:pPr>
        <w:pBdr>
          <w:left w:val="single" w:color="1B4F72" w:sz="6" w:space="4"/>
        </w:pBdr>
        <w:shd w:fill="F8F9FA" w:val="clear"/>
        <w:spacing w:after="40" w:before="40"/>
        <w:ind w:left="360"/>
      </w:pPr>
      <w:r>
        <w:rPr>
          <w:rFonts w:ascii="Courier New" w:cs="Courier New" w:eastAsia="Courier New" w:hAnsi="Courier New"/>
          <w:color w:val="2C3E50"/>
          <w:sz w:val="17"/>
          <w:szCs w:val="17"/>
        </w:rPr>
        <w:t xml:space="preserve">  return twelveDataMarketProvider;</w:t>
      </w:r>
    </w:p>
    <w:p>
      <w:pPr>
        <w:spacing w:after="160" w:before="0" w:line="276"/>
      </w:pPr>
      <w:r>
        <w:rPr>
          <w:rFonts w:ascii="Arial" w:cs="Arial" w:eastAsia="Arial" w:hAnsi="Arial"/>
          <w:sz w:val="22"/>
          <w:szCs w:val="22"/>
        </w:rPr>
        <w:t xml:space="preserve">No new routes, no new tools, no schema changes, no frontend changes are required for the core integration. The existing getQuotes, getHistoricalPrices, getCompanyProfile, and getEarningsCalendar tools dispatch to whatever the configured primary provider is.</w:t>
      </w:r>
    </w:p>
    <w:p>
      <w:pPr>
        <w:pStyle w:val="Heading2"/>
        <w:spacing w:after="180" w:before="280"/>
      </w:pPr>
      <w:r>
        <w:rPr>
          <w:rFonts w:ascii="Arial" w:cs="Arial" w:eastAsia="Arial" w:hAnsi="Arial"/>
        </w:rPr>
        <w:t xml:space="preserve">2.2 MarketProvider Interface</w:t>
      </w:r>
    </w:p>
    <w:p>
      <w:pPr>
        <w:spacing w:after="160" w:before="0" w:line="276"/>
      </w:pPr>
      <w:r>
        <w:rPr>
          <w:rFonts w:ascii="Arial" w:cs="Arial" w:eastAsia="Arial" w:hAnsi="Arial"/>
          <w:sz w:val="22"/>
          <w:szCs w:val="22"/>
        </w:rPr>
        <w:t xml:space="preserve">The adapter implements the four methods defined in server/providers/types.ts. Each Twelve Data endpoint maps directly: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000"/>
        <w:gridCol w:w="3360"/>
      </w:tblGrid>
      <w:tr>
        <w:trPr>
          <w:tblHeader/>
        </w:trPr>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19"/>
                <w:szCs w:val="19"/>
              </w:rPr>
              <w:t xml:space="preserve">Method</w:t>
            </w:r>
          </w:p>
        </w:tc>
        <w:tc>
          <w:tcPr>
            <w:tcW w:type="dxa" w:w="1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19"/>
                <w:szCs w:val="19"/>
              </w:rPr>
              <w:t xml:space="preserve">Twelve Data Endpoint</w:t>
            </w:r>
          </w:p>
        </w:tc>
        <w:tc>
          <w:tcPr>
            <w:tcW w:type="dxa" w:w="2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19"/>
                <w:szCs w:val="19"/>
              </w:rPr>
              <w:t xml:space="preserve">Request Mode</w:t>
            </w:r>
          </w:p>
        </w:tc>
        <w:tc>
          <w:tcPr>
            <w:tcW w:type="dxa" w:w="33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19"/>
                <w:szCs w:val="19"/>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getQuotes(symbols[])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/quote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Batch (comma-sep)</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Up to 120 symbols per call. Uses colon notation.</w:t>
            </w:r>
          </w:p>
        </w:tc>
      </w:tr>
      <w:tr>
        <w:tc>
          <w:tcPr>
            <w:tcW w:type="dxa" w:w="2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getHistoricalPrices(symbol, days)</w:t>
            </w:r>
          </w:p>
        </w:tc>
        <w:tc>
          <w:tcPr>
            <w:tcW w:type="dxa" w:w="18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/time_series</w:t>
            </w:r>
          </w:p>
        </w:tc>
        <w:tc>
          <w:tcPr>
            <w:tcW w:type="dxa" w:w="2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Single + exchange param</w:t>
            </w:r>
          </w:p>
        </w:tc>
        <w:tc>
          <w:tcPr>
            <w:tcW w:type="dxa" w:w="33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interval=1day, outputsize=days. Returns OHLCV.</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getCompanyProfile(symbol)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/profile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Single + exchange param</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Name, sector, industry, market cap, country.</w:t>
            </w:r>
          </w:p>
        </w:tc>
      </w:tr>
      <w:tr>
        <w:tc>
          <w:tcPr>
            <w:tcW w:type="dxa" w:w="2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getEarningsCalendar()</w:t>
            </w:r>
          </w:p>
        </w:tc>
        <w:tc>
          <w:tcPr>
            <w:tcW w:type="dxa" w:w="18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/earnings_calendar</w:t>
            </w:r>
          </w:p>
        </w:tc>
        <w:tc>
          <w:tcPr>
            <w:tcW w:type="dxa" w:w="2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No symbol needed</w:t>
            </w:r>
          </w:p>
        </w:tc>
        <w:tc>
          <w:tcPr>
            <w:tcW w:type="dxa" w:w="33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Upcoming earnings. Falls back to Finnhub if unavailable.</w:t>
            </w:r>
          </w:p>
        </w:tc>
      </w:tr>
    </w:tbl>
    <w:p>
      <w:pPr>
        <w:spacing w:after="80" w:before="80"/>
      </w:pPr>
    </w:p>
    <w:p>
      <w:pPr>
        <w:pBdr>
          <w:left w:val="single" w:color="1B4F72" w:sz="8" w:space="6"/>
        </w:pBdr>
        <w:shd w:fill="ECF0F1" w:val="clear"/>
        <w:spacing w:after="160" w:before="120" w:line="300"/>
        <w:ind w:left="360" w:right="360"/>
      </w:pPr>
      <w:r>
        <w:rPr>
          <w:rFonts w:ascii="Arial" w:cs="Arial" w:eastAsia="Arial" w:hAnsi="Arial"/>
          <w:i/>
          <w:iCs/>
          <w:color w:val="555555"/>
          <w:sz w:val="20"/>
          <w:szCs w:val="20"/>
        </w:rPr>
        <w:t xml:space="preserve">Key design decision: single-symbol endpoints (/time_series, /profile) use separate symbol + exchange query parameters. The batch /quote endpoint uses colon notation (EMAAR:DFM). This distinction is encoded in the normalizer’s return type — see §3.3.</w:t>
      </w:r>
    </w:p>
    <w:p>
      <w:pPr>
        <w:pStyle w:val="Heading2"/>
        <w:spacing w:after="180" w:before="280"/>
      </w:pPr>
      <w:r>
        <w:rPr>
          <w:rFonts w:ascii="Arial" w:cs="Arial" w:eastAsia="Arial" w:hAnsi="Arial"/>
        </w:rPr>
        <w:t xml:space="preserve">2.3 Internal Call Pattern</w:t>
      </w:r>
    </w:p>
    <w:p>
      <w:pPr>
        <w:spacing w:after="160" w:before="0" w:line="276"/>
      </w:pPr>
      <w:r>
        <w:rPr>
          <w:rFonts w:ascii="Arial" w:cs="Arial" w:eastAsia="Arial" w:hAnsi="Arial"/>
          <w:sz w:val="22"/>
          <w:szCs w:val="22"/>
        </w:rPr>
        <w:t xml:space="preserve">Every outbound call follows the established provider conventions from helpers.ts:</w:t>
      </w:r>
    </w:p>
    <w:p>
      <w:pPr>
        <w:pBdr>
          <w:left w:val="single" w:color="1B4F72" w:sz="6" w:space="4"/>
        </w:pBdr>
        <w:shd w:fill="F8F9FA" w:val="clear"/>
        <w:spacing w:after="40" w:before="40"/>
        <w:ind w:left="360"/>
      </w:pPr>
      <w:r>
        <w:rPr>
          <w:rFonts w:ascii="Courier New" w:cs="Courier New" w:eastAsia="Courier New" w:hAnsi="Courier New"/>
          <w:color w:val="2C3E50"/>
          <w:sz w:val="17"/>
          <w:szCs w:val="17"/>
        </w:rPr>
        <w:t xml:space="preserve">twelveDataFetch(endpoint, params)</w:t>
      </w:r>
    </w:p>
    <w:p>
      <w:pPr>
        <w:pBdr>
          <w:left w:val="single" w:color="1B4F72" w:sz="6" w:space="4"/>
        </w:pBdr>
        <w:shd w:fill="F8F9FA" w:val="clear"/>
        <w:spacing w:after="40" w:before="40"/>
        <w:ind w:left="360"/>
      </w:pPr>
      <w:r>
        <w:rPr>
          <w:rFonts w:ascii="Courier New" w:cs="Courier New" w:eastAsia="Courier New" w:hAnsi="Courier New"/>
          <w:color w:val="2C3E50"/>
          <w:sz w:val="17"/>
          <w:szCs w:val="17"/>
        </w:rPr>
        <w:t xml:space="preserve">  1. checkRateLimit('twelve_data', RATE_LIMIT)</w:t>
      </w:r>
    </w:p>
    <w:p>
      <w:pPr>
        <w:pBdr>
          <w:left w:val="single" w:color="1B4F72" w:sz="6" w:space="4"/>
        </w:pBdr>
        <w:shd w:fill="F8F9FA" w:val="clear"/>
        <w:spacing w:after="40" w:before="40"/>
        <w:ind w:left="360"/>
      </w:pPr>
      <w:r>
        <w:rPr>
          <w:rFonts w:ascii="Courier New" w:cs="Courier New" w:eastAsia="Courier New" w:hAnsi="Courier New"/>
          <w:color w:val="2C3E50"/>
          <w:sz w:val="17"/>
          <w:szCs w:val="17"/>
        </w:rPr>
        <w:t xml:space="preserve">  2. cacheGet(cacheKey) — return cached if available</w:t>
      </w:r>
    </w:p>
    <w:p>
      <w:pPr>
        <w:pBdr>
          <w:left w:val="single" w:color="1B4F72" w:sz="6" w:space="4"/>
        </w:pBdr>
        <w:shd w:fill="F8F9FA" w:val="clear"/>
        <w:spacing w:after="40" w:before="40"/>
        <w:ind w:left="360"/>
      </w:pPr>
      <w:r>
        <w:rPr>
          <w:rFonts w:ascii="Courier New" w:cs="Courier New" w:eastAsia="Courier New" w:hAnsi="Courier New"/>
          <w:color w:val="2C3E50"/>
          <w:sz w:val="17"/>
          <w:szCs w:val="17"/>
        </w:rPr>
        <w:t xml:space="preserve">  3. build URL: https://api.twelvedata.com/{endpoint}?{params}&amp;apikey={key}</w:t>
      </w:r>
    </w:p>
    <w:p>
      <w:pPr>
        <w:pBdr>
          <w:left w:val="single" w:color="1B4F72" w:sz="6" w:space="4"/>
        </w:pBdr>
        <w:shd w:fill="F8F9FA" w:val="clear"/>
        <w:spacing w:after="40" w:before="40"/>
        <w:ind w:left="360"/>
      </w:pPr>
      <w:r>
        <w:rPr>
          <w:rFonts w:ascii="Courier New" w:cs="Courier New" w:eastAsia="Courier New" w:hAnsi="Courier New"/>
          <w:color w:val="2C3E50"/>
          <w:sz w:val="17"/>
          <w:szCs w:val="17"/>
        </w:rPr>
        <w:t xml:space="preserve">  4. fetchWithTimeout(url, { timeout: 8000 })</w:t>
      </w:r>
    </w:p>
    <w:p>
      <w:pPr>
        <w:pBdr>
          <w:left w:val="single" w:color="1B4F72" w:sz="6" w:space="4"/>
        </w:pBdr>
        <w:shd w:fill="F8F9FA" w:val="clear"/>
        <w:spacing w:after="40" w:before="40"/>
        <w:ind w:left="360"/>
      </w:pPr>
      <w:r>
        <w:rPr>
          <w:rFonts w:ascii="Courier New" w:cs="Courier New" w:eastAsia="Courier New" w:hAnsi="Courier New"/>
          <w:color w:val="2C3E50"/>
          <w:sz w:val="17"/>
          <w:szCs w:val="17"/>
        </w:rPr>
        <w:t xml:space="preserve">  5. validate: response.status !== 'error'</w:t>
      </w:r>
    </w:p>
    <w:p>
      <w:pPr>
        <w:pBdr>
          <w:left w:val="single" w:color="1B4F72" w:sz="6" w:space="4"/>
        </w:pBdr>
        <w:shd w:fill="F8F9FA" w:val="clear"/>
        <w:spacing w:after="40" w:before="40"/>
        <w:ind w:left="360"/>
      </w:pPr>
      <w:r>
        <w:rPr>
          <w:rFonts w:ascii="Courier New" w:cs="Courier New" w:eastAsia="Courier New" w:hAnsi="Courier New"/>
          <w:color w:val="2C3E50"/>
          <w:sz w:val="17"/>
          <w:szCs w:val="17"/>
        </w:rPr>
        <w:t xml:space="preserve">  6. recordProviderSuccess('twelve_data') or recordProviderFailure('twelve_data')</w:t>
      </w:r>
    </w:p>
    <w:p>
      <w:pPr>
        <w:pBdr>
          <w:left w:val="single" w:color="1B4F72" w:sz="6" w:space="4"/>
        </w:pBdr>
        <w:shd w:fill="F8F9FA" w:val="clear"/>
        <w:spacing w:after="40" w:before="40"/>
        <w:ind w:left="360"/>
      </w:pPr>
      <w:r>
        <w:rPr>
          <w:rFonts w:ascii="Courier New" w:cs="Courier New" w:eastAsia="Courier New" w:hAnsi="Courier New"/>
          <w:color w:val="2C3E50"/>
          <w:sz w:val="17"/>
          <w:szCs w:val="17"/>
        </w:rPr>
        <w:t xml:space="preserve">  7. cacheSet(cacheKey, data, ttlCategory)</w:t>
      </w:r>
    </w:p>
    <w:p>
      <w:pPr>
        <w:pBdr>
          <w:left w:val="single" w:color="1B4F72" w:sz="6" w:space="4"/>
        </w:pBdr>
        <w:shd w:fill="F8F9FA" w:val="clear"/>
        <w:spacing w:after="40" w:before="40"/>
        <w:ind w:left="360"/>
      </w:pPr>
      <w:r>
        <w:rPr>
          <w:rFonts w:ascii="Courier New" w:cs="Courier New" w:eastAsia="Courier New" w:hAnsi="Courier New"/>
          <w:color w:val="2C3E50"/>
          <w:sz w:val="17"/>
          <w:szCs w:val="17"/>
        </w:rPr>
        <w:t xml:space="preserve">  8. return parsed JSON</w:t>
      </w:r>
    </w:p>
    <w:p>
      <w:pPr>
        <w:spacing w:after="160" w:before="0" w:line="276"/>
      </w:pPr>
      <w:r>
        <w:rPr>
          <w:rFonts w:ascii="Arial" w:cs="Arial" w:eastAsia="Arial" w:hAnsi="Arial"/>
          <w:sz w:val="22"/>
          <w:szCs w:val="22"/>
        </w:rPr>
        <w:t xml:space="preserve">This ensures Twelve Data automatically gets the sliding-window health tracking (5-minute window, 50% failure threshold), fallback event persistence to provider_fallback_events, and cache stats attached to every toolOk response. No new infrastructure is needed.</w:t>
      </w:r>
    </w:p>
    <w:p>
      <w:pPr>
        <w:pStyle w:val="Heading2"/>
        <w:spacing w:after="180" w:before="280"/>
      </w:pPr>
      <w:r>
        <w:rPr>
          <w:rFonts w:ascii="Arial" w:cs="Arial" w:eastAsia="Arial" w:hAnsi="Arial"/>
        </w:rPr>
        <w:t xml:space="preserve">2.4 Response Normalization</w:t>
      </w:r>
    </w:p>
    <w:p>
      <w:pPr>
        <w:spacing w:after="160" w:before="0" w:line="276"/>
      </w:pPr>
      <w:r>
        <w:rPr>
          <w:rFonts w:ascii="Arial" w:cs="Arial" w:eastAsia="Arial" w:hAnsi="Arial"/>
          <w:sz w:val="22"/>
          <w:szCs w:val="22"/>
        </w:rPr>
        <w:t xml:space="preserve">The adapter normalizes Twelve Data’s response into Ada’s MarketQuote type. Three fields are added to MarketQuote to support GCC clarity and delayed-data honesty: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000"/>
        <w:gridCol w:w="4360"/>
      </w:tblGrid>
      <w:tr>
        <w:trPr>
          <w:tblHeader/>
        </w:trPr>
        <w:tc>
          <w:tcPr>
            <w:tcW w:type="dxa" w:w="2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19"/>
                <w:szCs w:val="19"/>
              </w:rPr>
              <w:t xml:space="preserve">Twelve Data Field</w:t>
            </w:r>
          </w:p>
        </w:tc>
        <w:tc>
          <w:tcPr>
            <w:tcW w:type="dxa" w:w="2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19"/>
                <w:szCs w:val="19"/>
              </w:rPr>
              <w:t xml:space="preserve">MarketQuote Field</w:t>
            </w:r>
          </w:p>
        </w:tc>
        <w:tc>
          <w:tcPr>
            <w:tcW w:type="dxa" w:w="1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19"/>
                <w:szCs w:val="19"/>
              </w:rPr>
              <w:t xml:space="preserve">Type</w:t>
            </w:r>
          </w:p>
        </w:tc>
        <w:tc>
          <w:tcPr>
            <w:tcW w:type="dxa" w:w="43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19"/>
                <w:szCs w:val="19"/>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close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price</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number</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Latest available price</w:t>
            </w:r>
          </w:p>
        </w:tc>
      </w:tr>
      <w:tr>
        <w:tc>
          <w:tcPr>
            <w:tcW w:type="dxa" w:w="2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change</w:t>
            </w:r>
          </w:p>
        </w:tc>
        <w:tc>
          <w:tcPr>
            <w:tcW w:type="dxa" w:w="2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change</w:t>
            </w:r>
          </w:p>
        </w:tc>
        <w:tc>
          <w:tcPr>
            <w:tcW w:type="dxa" w:w="1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number</w:t>
            </w:r>
          </w:p>
        </w:tc>
        <w:tc>
          <w:tcPr>
            <w:tcW w:type="dxa" w:w="43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Absolute change from previous close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percent_change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change_percent</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number</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Percentage change</w:t>
            </w:r>
          </w:p>
        </w:tc>
      </w:tr>
      <w:tr>
        <w:tc>
          <w:tcPr>
            <w:tcW w:type="dxa" w:w="2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volume</w:t>
            </w:r>
          </w:p>
        </w:tc>
        <w:tc>
          <w:tcPr>
            <w:tcW w:type="dxa" w:w="2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volume</w:t>
            </w:r>
          </w:p>
        </w:tc>
        <w:tc>
          <w:tcPr>
            <w:tcW w:type="dxa" w:w="1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number</w:t>
            </w:r>
          </w:p>
        </w:tc>
        <w:tc>
          <w:tcPr>
            <w:tcW w:type="dxa" w:w="43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Daily trading volume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high / low / open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high / low / open_price</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number</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Session OHLC</w:t>
            </w:r>
          </w:p>
        </w:tc>
      </w:tr>
      <w:tr>
        <w:tc>
          <w:tcPr>
            <w:tcW w:type="dxa" w:w="2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previous_close</w:t>
            </w:r>
          </w:p>
        </w:tc>
        <w:tc>
          <w:tcPr>
            <w:tcW w:type="dxa" w:w="2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previous_close</w:t>
            </w:r>
          </w:p>
        </w:tc>
        <w:tc>
          <w:tcPr>
            <w:tcW w:type="dxa" w:w="1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number</w:t>
            </w:r>
          </w:p>
        </w:tc>
        <w:tc>
          <w:tcPr>
            <w:tcW w:type="dxa" w:w="43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Prior session close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currency (from meta)</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currency</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string</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Local currency (AED, SAR, USD)</w:t>
            </w:r>
          </w:p>
        </w:tc>
      </w:tr>
      <w:tr>
        <w:tc>
          <w:tcPr>
            <w:tcW w:type="dxa" w:w="2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 (constructed)</w:t>
            </w:r>
          </w:p>
        </w:tc>
        <w:tc>
          <w:tcPr>
            <w:tcW w:type="dxa" w:w="2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display_symbol</w:t>
            </w:r>
          </w:p>
        </w:tc>
        <w:tc>
          <w:tcPr>
            <w:tcW w:type="dxa" w:w="1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string</w:t>
            </w:r>
          </w:p>
        </w:tc>
        <w:tc>
          <w:tcPr>
            <w:tcW w:type="dxa" w:w="43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NEW — e.g., “Emaar Properties (DFM)”</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 (from normalizer)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provider_symbol</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string</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NEW — resolved Twelve Data address for debugging</w:t>
            </w:r>
          </w:p>
        </w:tc>
      </w:tr>
      <w:tr>
        <w:tc>
          <w:tcPr>
            <w:tcW w:type="dxa" w:w="2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 (from plan tier)</w:t>
            </w:r>
          </w:p>
        </w:tc>
        <w:tc>
          <w:tcPr>
            <w:tcW w:type="dxa" w:w="2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is_delayed</w:t>
            </w:r>
          </w:p>
        </w:tc>
        <w:tc>
          <w:tcPr>
            <w:tcW w:type="dxa" w:w="1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boolean</w:t>
            </w:r>
          </w:p>
        </w:tc>
        <w:tc>
          <w:tcPr>
            <w:tcW w:type="dxa" w:w="43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NEW — true on Grow plan (15-min delay)</w:t>
            </w:r>
          </w:p>
        </w:tc>
      </w:tr>
    </w:tbl>
    <w:p>
      <w:pPr>
        <w:spacing w:after="80" w:before="80"/>
      </w:pPr>
    </w:p>
    <w:p>
      <w:pPr>
        <w:spacing w:after="160" w:before="0" w:line="276"/>
      </w:pPr>
      <w:r>
        <w:rPr>
          <w:rFonts w:ascii="Arial" w:cs="Arial" w:eastAsia="Arial" w:hAnsi="Arial"/>
          <w:b/>
          <w:bCs/>
          <w:sz w:val="22"/>
          <w:szCs w:val="22"/>
        </w:rPr>
        <w:t xml:space="preserve">display_symbol </w:t>
      </w:r>
      <w:r>
        <w:rPr>
          <w:rFonts w:ascii="Arial" w:cs="Arial" w:eastAsia="Arial" w:hAnsi="Arial"/>
          <w:sz w:val="22"/>
          <w:szCs w:val="22"/>
        </w:rPr>
        <w:t xml:space="preserve">gives the LLM richer material for natural narration: “Emaar Properties (DFM) is trading at AED 9.92” instead of “EMAAR is 9.85.” It is constructed from the instrument’s name and exchange columns.</w:t>
      </w:r>
    </w:p>
    <w:p>
      <w:pPr>
        <w:spacing w:after="160" w:before="0" w:line="276"/>
      </w:pPr>
      <w:r>
        <w:rPr>
          <w:rFonts w:ascii="Arial" w:cs="Arial" w:eastAsia="Arial" w:hAnsi="Arial"/>
          <w:b/>
          <w:bCs/>
          <w:sz w:val="22"/>
          <w:szCs w:val="22"/>
        </w:rPr>
        <w:t xml:space="preserve">provider_symbol </w:t>
      </w:r>
      <w:r>
        <w:rPr>
          <w:rFonts w:ascii="Arial" w:cs="Arial" w:eastAsia="Arial" w:hAnsi="Arial"/>
          <w:sz w:val="22"/>
          <w:szCs w:val="22"/>
        </w:rPr>
        <w:t xml:space="preserve">records the exact resolved Twelve Data address (e.g., EMAAR:DFM or 2222:TADAWUL) in the quote. This is essential for debugging symbol resolution issues — the exact failure class that caused the original Emaar problem.</w:t>
      </w:r>
    </w:p>
    <w:p>
      <w:pPr>
        <w:spacing w:after="160" w:before="0" w:line="276"/>
      </w:pPr>
      <w:r>
        <w:rPr>
          <w:rFonts w:ascii="Arial" w:cs="Arial" w:eastAsia="Arial" w:hAnsi="Arial"/>
          <w:b/>
          <w:bCs/>
          <w:sz w:val="22"/>
          <w:szCs w:val="22"/>
        </w:rPr>
        <w:t xml:space="preserve">is_delayed </w:t>
      </w:r>
      <w:r>
        <w:rPr>
          <w:rFonts w:ascii="Arial" w:cs="Arial" w:eastAsia="Arial" w:hAnsi="Arial"/>
          <w:sz w:val="22"/>
          <w:szCs w:val="22"/>
        </w:rPr>
        <w:t xml:space="preserve">is set to true when the configured plan tier provides delayed data (Grow plan: 15-minute delay). The LLM should say “delayed price” rather than “current price” when this flag is true. Controlled by env var TWELVE_DATA_IS_REALTIME (default: false).</w:t>
      </w:r>
    </w:p>
    <w:p>
      <w:pPr>
        <w:pStyle w:val="Heading2"/>
        <w:spacing w:after="180" w:before="280"/>
      </w:pPr>
      <w:r>
        <w:rPr>
          <w:rFonts w:ascii="Arial" w:cs="Arial" w:eastAsia="Arial" w:hAnsi="Arial"/>
        </w:rPr>
        <w:t xml:space="preserve">2.5 Batch Quote Optimization</w:t>
      </w:r>
    </w:p>
    <w:p>
      <w:pPr>
        <w:spacing w:after="160" w:before="0" w:line="276"/>
      </w:pPr>
      <w:r>
        <w:rPr>
          <w:rFonts w:ascii="Arial" w:cs="Arial" w:eastAsia="Arial" w:hAnsi="Arial"/>
          <w:sz w:val="22"/>
          <w:szCs w:val="22"/>
        </w:rPr>
        <w:t xml:space="preserve">Twelve Data supports batch requests with up to 120 comma-separated symbols in a single /quote call. When getQuotes receives multiple symbols, the adapter concatenates them into a single API request rather than issuing N individual calls. This is critical for rate-limit conservation:</w:t>
      </w:r>
    </w:p>
    <w:p>
      <w:pPr>
        <w:pBdr>
          <w:left w:val="single" w:color="1B4F72" w:sz="6" w:space="4"/>
        </w:pBdr>
        <w:shd w:fill="F8F9FA" w:val="clear"/>
        <w:spacing w:after="40" w:before="40"/>
        <w:ind w:left="360"/>
      </w:pPr>
      <w:r>
        <w:rPr>
          <w:rFonts w:ascii="Courier New" w:cs="Courier New" w:eastAsia="Courier New" w:hAnsi="Courier New"/>
          <w:color w:val="2C3E50"/>
          <w:sz w:val="17"/>
          <w:szCs w:val="17"/>
        </w:rPr>
        <w:t xml:space="preserve">GET /quote?symbol=EMAAR:DFM,FAB:ADX,2222:TADAWUL,AAPL,MSFT&amp;apikey=...</w:t>
      </w:r>
    </w:p>
    <w:p>
      <w:pPr>
        <w:spacing w:after="160" w:before="0" w:line="276"/>
      </w:pPr>
      <w:r>
        <w:rPr>
          <w:rFonts w:ascii="Arial" w:cs="Arial" w:eastAsia="Arial" w:hAnsi="Arial"/>
          <w:sz w:val="22"/>
          <w:szCs w:val="22"/>
        </w:rPr>
        <w:t xml:space="preserve">A portfolio-wide quote refresh (5 GCC + 10 US holdings = 15 symbols) consumes 1 rate-limit slot instead of 15. Each symbol still costs 1 API credit, but the per-minute rate limit counts requests, not credits.</w:t>
      </w:r>
    </w:p>
    <w:p>
      <w:pPr>
        <w:spacing w:after="160" w:before="0" w:line="276"/>
      </w:pPr>
      <w:r>
        <w:rPr>
          <w:rFonts w:ascii="Arial" w:cs="Arial" w:eastAsia="Arial" w:hAnsi="Arial"/>
          <w:sz w:val="22"/>
          <w:szCs w:val="22"/>
        </w:rPr>
        <w:t xml:space="preserve">The batch response is keyed by symbol. The adapter iterates the response object, maps each entry to a MarketQuote, and returns them as an array inside toolOk. If any individual symbol fails within the batch (e.g., Twelve Data returns status: “error” for one symbol), the adapter still returns the successful ones and appends a warning (e.g., no_data:ADNOCDIST) for each failed symbol. Partial success is always better than total failure.</w:t>
      </w:r>
    </w:p>
    <w:p>
      <w:pPr>
        <w:pStyle w:val="Heading2"/>
        <w:spacing w:after="180" w:before="280"/>
      </w:pPr>
      <w:r>
        <w:rPr>
          <w:rFonts w:ascii="Arial" w:cs="Arial" w:eastAsia="Arial" w:hAnsi="Arial"/>
        </w:rPr>
        <w:t xml:space="preserve">2.6 Data Persistence</w:t>
      </w:r>
    </w:p>
    <w:p>
      <w:pPr>
        <w:spacing w:after="160" w:before="0" w:line="276"/>
      </w:pPr>
      <w:r>
        <w:rPr>
          <w:rFonts w:ascii="Arial" w:cs="Arial" w:eastAsia="Arial" w:hAnsi="Arial"/>
          <w:sz w:val="22"/>
          <w:szCs w:val="22"/>
        </w:rPr>
        <w:t xml:space="preserve">The market_quotes table has a UNIQUE(symbol, source_provider) constraint (F-10), so Twelve Data quotes coexist alongside existing mock data without conflict. The adapter uses an UPSERT pattern:</w:t>
      </w:r>
    </w:p>
    <w:p>
      <w:pPr>
        <w:pBdr>
          <w:left w:val="single" w:color="1B4F72" w:sz="6" w:space="4"/>
        </w:pBdr>
        <w:shd w:fill="F8F9FA" w:val="clear"/>
        <w:spacing w:after="40" w:before="40"/>
        <w:ind w:left="360"/>
      </w:pPr>
      <w:r>
        <w:rPr>
          <w:rFonts w:ascii="Courier New" w:cs="Courier New" w:eastAsia="Courier New" w:hAnsi="Courier New"/>
          <w:color w:val="2C3E50"/>
          <w:sz w:val="17"/>
          <w:szCs w:val="17"/>
        </w:rPr>
        <w:t xml:space="preserve">INSERT INTO market_quotes (symbol, price, change, ..., source_provider, as_of)</w:t>
      </w:r>
    </w:p>
    <w:p>
      <w:pPr>
        <w:pBdr>
          <w:left w:val="single" w:color="1B4F72" w:sz="6" w:space="4"/>
        </w:pBdr>
        <w:shd w:fill="F8F9FA" w:val="clear"/>
        <w:spacing w:after="40" w:before="40"/>
        <w:ind w:left="360"/>
      </w:pPr>
      <w:r>
        <w:rPr>
          <w:rFonts w:ascii="Courier New" w:cs="Courier New" w:eastAsia="Courier New" w:hAnsi="Courier New"/>
          <w:color w:val="2C3E50"/>
          <w:sz w:val="17"/>
          <w:szCs w:val="17"/>
        </w:rPr>
        <w:t xml:space="preserve">VALUES ($1, $2, ..., 'twelve_data', NOW())</w:t>
      </w:r>
    </w:p>
    <w:p>
      <w:pPr>
        <w:pBdr>
          <w:left w:val="single" w:color="1B4F72" w:sz="6" w:space="4"/>
        </w:pBdr>
        <w:shd w:fill="F8F9FA" w:val="clear"/>
        <w:spacing w:after="40" w:before="40"/>
        <w:ind w:left="360"/>
      </w:pPr>
      <w:r>
        <w:rPr>
          <w:rFonts w:ascii="Courier New" w:cs="Courier New" w:eastAsia="Courier New" w:hAnsi="Courier New"/>
          <w:color w:val="2C3E50"/>
          <w:sz w:val="17"/>
          <w:szCs w:val="17"/>
        </w:rPr>
        <w:t xml:space="preserve">ON CONFLICT (symbol, source_provider)</w:t>
      </w:r>
    </w:p>
    <w:p>
      <w:pPr>
        <w:pBdr>
          <w:left w:val="single" w:color="1B4F72" w:sz="6" w:space="4"/>
        </w:pBdr>
        <w:shd w:fill="F8F9FA" w:val="clear"/>
        <w:spacing w:after="40" w:before="40"/>
        <w:ind w:left="360"/>
      </w:pPr>
      <w:r>
        <w:rPr>
          <w:rFonts w:ascii="Courier New" w:cs="Courier New" w:eastAsia="Courier New" w:hAnsi="Courier New"/>
          <w:color w:val="2C3E50"/>
          <w:sz w:val="17"/>
          <w:szCs w:val="17"/>
        </w:rPr>
        <w:t xml:space="preserve">DO UPDATE SET price = EXCLUDED.price, change = EXCLUDED.change, ..., as_of = NOW()</w:t>
      </w:r>
    </w:p>
    <w:p>
      <w:pPr>
        <w:spacing w:after="160" w:before="0" w:line="276"/>
      </w:pPr>
      <w:r>
        <w:rPr>
          <w:rFonts w:ascii="Arial" w:cs="Arial" w:eastAsia="Arial" w:hAnsi="Arial"/>
          <w:sz w:val="22"/>
          <w:szCs w:val="22"/>
        </w:rPr>
        <w:t xml:space="preserve">This means repeated quotes for the same symbol update in place. Mock data (source_provider = ‘mock’) remains untouched as a permanent safety net.</w:t>
      </w:r>
    </w:p>
    <w:p>
      <w:r>
        <w:br w:type="page"/>
      </w:r>
    </w:p>
    <w:p>
      <w:pPr>
        <w:pStyle w:val="Heading1"/>
        <w:spacing w:after="200" w:before="380"/>
      </w:pPr>
      <w:r>
        <w:rPr>
          <w:rFonts w:ascii="Arial" w:cs="Arial" w:eastAsia="Arial" w:hAnsi="Arial"/>
        </w:rPr>
        <w:t xml:space="preserve">3. Symbol Normalization Layer</w:t>
      </w:r>
    </w:p>
    <w:p>
      <w:pPr>
        <w:pStyle w:val="Heading2"/>
        <w:spacing w:after="180" w:before="280"/>
      </w:pPr>
      <w:r>
        <w:rPr>
          <w:rFonts w:ascii="Arial" w:cs="Arial" w:eastAsia="Arial" w:hAnsi="Arial"/>
        </w:rPr>
        <w:t xml:space="preserve">3.1 The Core Problem (B-01)</w:t>
      </w:r>
    </w:p>
    <w:p>
      <w:pPr>
        <w:spacing w:after="160" w:before="0" w:line="276"/>
      </w:pPr>
      <w:r>
        <w:rPr>
          <w:rFonts w:ascii="Arial" w:cs="Arial" w:eastAsia="Arial" w:hAnsi="Arial"/>
          <w:sz w:val="22"/>
          <w:szCs w:val="22"/>
        </w:rPr>
        <w:t xml:space="preserve">When the LLM calls getQuotes([‘EMAAR’]), the bare ticker has no exchange context. Twelve Data requires exchange-qualified addressing for non-US instruments. The instruments table stores symbol and exchange as separate columns (F-04), but no translation logic exists anywhere in the codebase (F-03). Grep for ‘.DFM’, ‘:DFM’, ‘exchange_suffix’, or ‘MIC’ across the entire repository returns zero results. This is the single most critical blocker (B-01).</w:t>
      </w:r>
    </w:p>
    <w:p>
      <w:pPr>
        <w:pStyle w:val="Heading2"/>
        <w:spacing w:after="180" w:before="280"/>
      </w:pPr>
      <w:r>
        <w:rPr>
          <w:rFonts w:ascii="Arial" w:cs="Arial" w:eastAsia="Arial" w:hAnsi="Arial"/>
        </w:rPr>
        <w:t xml:space="preserve">3.2 Design Decision: Structured Resolution</w:t>
      </w:r>
    </w:p>
    <w:p>
      <w:pPr>
        <w:spacing w:after="160" w:before="0" w:line="276"/>
      </w:pPr>
      <w:r>
        <w:rPr>
          <w:rFonts w:ascii="Arial" w:cs="Arial" w:eastAsia="Arial" w:hAnsi="Arial"/>
          <w:sz w:val="22"/>
          <w:szCs w:val="22"/>
        </w:rPr>
        <w:t xml:space="preserve">The normalization lives in a dedicated module (server/providers/symbolNormalizer.ts) that is called by the Twelve Data provider adapter. It is not placed in the tool registry or orchestration layer because symbol formatting is provider-specific — different providers use different conventions (.DU for Yahoo Finance Düsseldorf, :DFM for Twelve Data, bare ticker for Finnhub US). Encapsulating it in the provider keeps the rest of the stack working with Ada’s canonical bare tickers.</w:t>
      </w:r>
    </w:p>
    <w:p>
      <w:pPr>
        <w:pBdr>
          <w:left w:val="single" w:color="1B4F72" w:sz="8" w:space="6"/>
        </w:pBdr>
        <w:shd w:fill="ECF0F1" w:val="clear"/>
        <w:spacing w:after="160" w:before="120" w:line="300"/>
        <w:ind w:left="360" w:right="360"/>
      </w:pPr>
      <w:r>
        <w:rPr>
          <w:rFonts w:ascii="Arial" w:cs="Arial" w:eastAsia="Arial" w:hAnsi="Arial"/>
          <w:i/>
          <w:iCs/>
          <w:color w:val="555555"/>
          <w:sz w:val="20"/>
          <w:szCs w:val="20"/>
        </w:rPr>
        <w:t xml:space="preserve">Key revision from v1: the normalizer returns a structured resolution object, not just a string. This lets the provider adapter choose the appropriate format per endpoint (colon notation for batch, separate params for single-symbol calls).</w:t>
      </w:r>
    </w:p>
    <w:p>
      <w:pPr>
        <w:pStyle w:val="Heading3"/>
        <w:spacing w:after="120" w:before="220"/>
      </w:pPr>
      <w:r>
        <w:rPr>
          <w:rFonts w:ascii="Arial" w:cs="Arial" w:eastAsia="Arial" w:hAnsi="Arial"/>
        </w:rPr>
        <w:t xml:space="preserve">3.2.1 Resolution Return Type</w:t>
      </w:r>
    </w:p>
    <w:p>
      <w:pPr>
        <w:pBdr>
          <w:left w:val="single" w:color="1B4F72" w:sz="6" w:space="4"/>
        </w:pBdr>
        <w:shd w:fill="F8F9FA" w:val="clear"/>
        <w:spacing w:after="40" w:before="40"/>
        <w:ind w:left="360"/>
      </w:pPr>
      <w:r>
        <w:rPr>
          <w:rFonts w:ascii="Courier New" w:cs="Courier New" w:eastAsia="Courier New" w:hAnsi="Courier New"/>
          <w:color w:val="2C3E50"/>
          <w:sz w:val="17"/>
          <w:szCs w:val="17"/>
        </w:rPr>
        <w:t xml:space="preserve">interface ResolvedSymbol {</w:t>
      </w:r>
    </w:p>
    <w:p>
      <w:pPr>
        <w:pBdr>
          <w:left w:val="single" w:color="1B4F72" w:sz="6" w:space="4"/>
        </w:pBdr>
        <w:shd w:fill="F8F9FA" w:val="clear"/>
        <w:spacing w:after="40" w:before="40"/>
        <w:ind w:left="360"/>
      </w:pPr>
      <w:r>
        <w:rPr>
          <w:rFonts w:ascii="Courier New" w:cs="Courier New" w:eastAsia="Courier New" w:hAnsi="Courier New"/>
          <w:color w:val="2C3E50"/>
          <w:sz w:val="17"/>
          <w:szCs w:val="17"/>
        </w:rPr>
        <w:t xml:space="preserve">  ada_symbol: string;       // Ada's canonical ticker: 'EMAAR'</w:t>
      </w:r>
    </w:p>
    <w:p>
      <w:pPr>
        <w:pBdr>
          <w:left w:val="single" w:color="1B4F72" w:sz="6" w:space="4"/>
        </w:pBdr>
        <w:shd w:fill="F8F9FA" w:val="clear"/>
        <w:spacing w:after="40" w:before="40"/>
        <w:ind w:left="360"/>
      </w:pPr>
      <w:r>
        <w:rPr>
          <w:rFonts w:ascii="Courier New" w:cs="Courier New" w:eastAsia="Courier New" w:hAnsi="Courier New"/>
          <w:color w:val="2C3E50"/>
          <w:sz w:val="17"/>
          <w:szCs w:val="17"/>
        </w:rPr>
        <w:t xml:space="preserve">  provider_ticker: string;  // Provider-native ticker: 'EMAAR' (or '2222' for Aramco)</w:t>
      </w:r>
    </w:p>
    <w:p>
      <w:pPr>
        <w:pBdr>
          <w:left w:val="single" w:color="1B4F72" w:sz="6" w:space="4"/>
        </w:pBdr>
        <w:shd w:fill="F8F9FA" w:val="clear"/>
        <w:spacing w:after="40" w:before="40"/>
        <w:ind w:left="360"/>
      </w:pPr>
      <w:r>
        <w:rPr>
          <w:rFonts w:ascii="Courier New" w:cs="Courier New" w:eastAsia="Courier New" w:hAnsi="Courier New"/>
          <w:color w:val="2C3E50"/>
          <w:sz w:val="17"/>
          <w:szCs w:val="17"/>
        </w:rPr>
        <w:t xml:space="preserve">  exchange: string | null;  // Exchange identifier: 'DFM' (or null for US)</w:t>
      </w:r>
    </w:p>
    <w:p>
      <w:pPr>
        <w:pBdr>
          <w:left w:val="single" w:color="1B4F72" w:sz="6" w:space="4"/>
        </w:pBdr>
        <w:shd w:fill="F8F9FA" w:val="clear"/>
        <w:spacing w:after="40" w:before="40"/>
        <w:ind w:left="360"/>
      </w:pPr>
      <w:r>
        <w:rPr>
          <w:rFonts w:ascii="Courier New" w:cs="Courier New" w:eastAsia="Courier New" w:hAnsi="Courier New"/>
          <w:color w:val="2C3E50"/>
          <w:sz w:val="17"/>
          <w:szCs w:val="17"/>
        </w:rPr>
        <w:t xml:space="preserve">  qualified: string;        // Colon notation for batch: 'EMAAR:DFM' (or bare for US)</w:t>
      </w:r>
    </w:p>
    <w:p>
      <w:pPr>
        <w:pBdr>
          <w:left w:val="single" w:color="1B4F72" w:sz="6" w:space="4"/>
        </w:pBdr>
        <w:shd w:fill="F8F9FA" w:val="clear"/>
        <w:spacing w:after="40" w:before="40"/>
        <w:ind w:left="360"/>
      </w:pPr>
      <w:r>
        <w:rPr>
          <w:rFonts w:ascii="Courier New" w:cs="Courier New" w:eastAsia="Courier New" w:hAnsi="Courier New"/>
          <w:color w:val="2C3E50"/>
          <w:sz w:val="17"/>
          <w:szCs w:val="17"/>
        </w:rPr>
        <w:t xml:space="preserve">  display_name: string;     // Human-readable: 'Emaar Properties (DFM)'</w:t>
      </w:r>
    </w:p>
    <w:p>
      <w:pPr>
        <w:pBdr>
          <w:left w:val="single" w:color="1B4F72" w:sz="6" w:space="4"/>
        </w:pBdr>
        <w:shd w:fill="F8F9FA" w:val="clear"/>
        <w:spacing w:after="40" w:before="40"/>
        <w:ind w:left="360"/>
      </w:pPr>
      <w:r>
        <w:rPr>
          <w:rFonts w:ascii="Courier New" w:cs="Courier New" w:eastAsia="Courier New" w:hAnsi="Courier New"/>
          <w:color w:val="2C3E50"/>
          <w:sz w:val="17"/>
          <w:szCs w:val="17"/>
        </w:rPr>
        <w:t xml:space="preserve">  currency: string;         // From instrument: 'AED'</w:t>
      </w:r>
    </w:p>
    <w:p>
      <w:pPr>
        <w:pBdr>
          <w:left w:val="single" w:color="1B4F72" w:sz="6" w:space="4"/>
        </w:pBdr>
        <w:shd w:fill="F8F9FA" w:val="clear"/>
        <w:spacing w:after="40" w:before="40"/>
        <w:ind w:left="360"/>
      </w:pPr>
      <w:r>
        <w:rPr>
          <w:rFonts w:ascii="Courier New" w:cs="Courier New" w:eastAsia="Courier New" w:hAnsi="Courier New"/>
          <w:color w:val="2C3E50"/>
          <w:sz w:val="17"/>
          <w:szCs w:val="17"/>
        </w:rPr>
        <w:t xml:space="preserve">  source: string;           // Resolution source: 'static_map' | 'db_lookup' | 'override' | 'passthrough'</w:t>
      </w:r>
    </w:p>
    <w:p>
      <w:pPr>
        <w:pBdr>
          <w:left w:val="single" w:color="1B4F72" w:sz="6" w:space="4"/>
        </w:pBdr>
        <w:shd w:fill="F8F9FA" w:val="clear"/>
        <w:spacing w:after="40" w:before="40"/>
        <w:ind w:left="360"/>
      </w:pPr>
      <w:r>
        <w:rPr>
          <w:rFonts w:ascii="Courier New" w:cs="Courier New" w:eastAsia="Courier New" w:hAnsi="Courier New"/>
          <w:color w:val="2C3E50"/>
          <w:sz w:val="17"/>
          <w:szCs w:val="17"/>
        </w:rPr>
        <w:t xml:space="preserve">}</w:t>
      </w:r>
    </w:p>
    <w:p>
      <w:pPr>
        <w:spacing w:after="160" w:before="0" w:line="276"/>
      </w:pPr>
      <w:r>
        <w:rPr>
          <w:rFonts w:ascii="Arial" w:cs="Arial" w:eastAsia="Arial" w:hAnsi="Arial"/>
          <w:sz w:val="22"/>
          <w:szCs w:val="22"/>
        </w:rPr>
        <w:t xml:space="preserve">The adapter then uses the appropriate fields per endpoint:</w:t>
      </w:r>
    </w:p>
    <w:p>
      <w:pPr>
        <w:pStyle w:val="ListParagraph"/>
        <w:numPr>
          <w:ilvl w:val="0"/>
          <w:numId w:val="3"/>
        </w:numPr>
        <w:spacing w:after="100"/>
      </w:pPr>
      <w:r>
        <w:rPr>
          <w:rFonts w:ascii="Arial" w:cs="Arial" w:eastAsia="Arial" w:hAnsi="Arial"/>
          <w:b/>
          <w:bCs/>
          <w:sz w:val="22"/>
          <w:szCs w:val="22"/>
        </w:rPr>
        <w:t xml:space="preserve">Batch /quote: </w:t>
      </w:r>
      <w:r>
        <w:rPr>
          <w:rFonts w:ascii="Arial" w:cs="Arial" w:eastAsia="Arial" w:hAnsi="Arial"/>
          <w:sz w:val="22"/>
          <w:szCs w:val="22"/>
        </w:rPr>
        <w:t xml:space="preserve">uses qualified field (EMAAR:DFM,FAB:ADX,AAPL)</w:t>
      </w:r>
    </w:p>
    <w:p>
      <w:pPr>
        <w:pStyle w:val="ListParagraph"/>
        <w:numPr>
          <w:ilvl w:val="0"/>
          <w:numId w:val="3"/>
        </w:numPr>
        <w:spacing w:after="100"/>
      </w:pPr>
      <w:r>
        <w:rPr>
          <w:rFonts w:ascii="Arial" w:cs="Arial" w:eastAsia="Arial" w:hAnsi="Arial"/>
          <w:b/>
          <w:bCs/>
          <w:sz w:val="22"/>
          <w:szCs w:val="22"/>
        </w:rPr>
        <w:t xml:space="preserve">Single /time_series, /profile: </w:t>
      </w:r>
      <w:r>
        <w:rPr>
          <w:rFonts w:ascii="Arial" w:cs="Arial" w:eastAsia="Arial" w:hAnsi="Arial"/>
          <w:sz w:val="22"/>
          <w:szCs w:val="22"/>
        </w:rPr>
        <w:t xml:space="preserve">uses provider_ticker + exchange as separate query params (?symbol=EMAAR&amp;exchange=DFM)</w:t>
      </w:r>
    </w:p>
    <w:p>
      <w:pPr>
        <w:pStyle w:val="Heading2"/>
        <w:spacing w:after="180" w:before="280"/>
      </w:pPr>
      <w:r>
        <w:rPr>
          <w:rFonts w:ascii="Arial" w:cs="Arial" w:eastAsia="Arial" w:hAnsi="Arial"/>
        </w:rPr>
        <w:t xml:space="preserve">3.3 Resolution Strategy: Two-Tier Lookup</w:t>
      </w:r>
    </w:p>
    <w:p>
      <w:pPr>
        <w:pStyle w:val="Heading3"/>
        <w:spacing w:after="120" w:before="220"/>
      </w:pPr>
      <w:r>
        <w:rPr>
          <w:rFonts w:ascii="Arial" w:cs="Arial" w:eastAsia="Arial" w:hAnsi="Arial"/>
        </w:rPr>
        <w:t xml:space="preserve">3.3.1 Tier 1 — Static Exchange Map (Zero-Latency)</w:t>
      </w:r>
    </w:p>
    <w:p>
      <w:pPr>
        <w:spacing w:after="160" w:before="0" w:line="276"/>
      </w:pPr>
      <w:r>
        <w:rPr>
          <w:rFonts w:ascii="Arial" w:cs="Arial" w:eastAsia="Arial" w:hAnsi="Arial"/>
          <w:sz w:val="22"/>
          <w:szCs w:val="22"/>
        </w:rPr>
        <w:t xml:space="preserve">A hardcoded map of exchange codes to Twelve Data suffixes covers the known GCC exchanges. This handles the day-1 demo instruments with zero database overhead:</w:t>
      </w:r>
    </w:p>
    <w:p>
      <w:pPr>
        <w:pBdr>
          <w:left w:val="single" w:color="1B4F72" w:sz="6" w:space="4"/>
        </w:pBdr>
        <w:shd w:fill="F8F9FA" w:val="clear"/>
        <w:spacing w:after="40" w:before="40"/>
        <w:ind w:left="360"/>
      </w:pPr>
      <w:r>
        <w:rPr>
          <w:rFonts w:ascii="Courier New" w:cs="Courier New" w:eastAsia="Courier New" w:hAnsi="Courier New"/>
          <w:color w:val="2C3E50"/>
          <w:sz w:val="17"/>
          <w:szCs w:val="17"/>
        </w:rPr>
        <w:t xml:space="preserve">const EXCHANGE_MAP: Record&lt;string, string&gt; = {</w:t>
      </w:r>
    </w:p>
    <w:p>
      <w:pPr>
        <w:pBdr>
          <w:left w:val="single" w:color="1B4F72" w:sz="6" w:space="4"/>
        </w:pBdr>
        <w:shd w:fill="F8F9FA" w:val="clear"/>
        <w:spacing w:after="40" w:before="40"/>
        <w:ind w:left="360"/>
      </w:pPr>
      <w:r>
        <w:rPr>
          <w:rFonts w:ascii="Courier New" w:cs="Courier New" w:eastAsia="Courier New" w:hAnsi="Courier New"/>
          <w:color w:val="2C3E50"/>
          <w:sz w:val="17"/>
          <w:szCs w:val="17"/>
        </w:rPr>
        <w:t xml:space="preserve">  DFM:      ':DFM',        // Dubai Financial Market</w:t>
      </w:r>
    </w:p>
    <w:p>
      <w:pPr>
        <w:pBdr>
          <w:left w:val="single" w:color="1B4F72" w:sz="6" w:space="4"/>
        </w:pBdr>
        <w:shd w:fill="F8F9FA" w:val="clear"/>
        <w:spacing w:after="40" w:before="40"/>
        <w:ind w:left="360"/>
      </w:pPr>
      <w:r>
        <w:rPr>
          <w:rFonts w:ascii="Courier New" w:cs="Courier New" w:eastAsia="Courier New" w:hAnsi="Courier New"/>
          <w:color w:val="2C3E50"/>
          <w:sz w:val="17"/>
          <w:szCs w:val="17"/>
        </w:rPr>
        <w:t xml:space="preserve">  ADX:      ':ADX',        // Abu Dhabi Securities Exchange</w:t>
      </w:r>
    </w:p>
    <w:p>
      <w:pPr>
        <w:pBdr>
          <w:left w:val="single" w:color="1B4F72" w:sz="6" w:space="4"/>
        </w:pBdr>
        <w:shd w:fill="F8F9FA" w:val="clear"/>
        <w:spacing w:after="40" w:before="40"/>
        <w:ind w:left="360"/>
      </w:pPr>
      <w:r>
        <w:rPr>
          <w:rFonts w:ascii="Courier New" w:cs="Courier New" w:eastAsia="Courier New" w:hAnsi="Courier New"/>
          <w:color w:val="2C3E50"/>
          <w:sz w:val="17"/>
          <w:szCs w:val="17"/>
        </w:rPr>
        <w:t xml:space="preserve">  TADAWUL:  ':TADAWUL',    // Saudi Stock Exchange</w:t>
      </w:r>
    </w:p>
    <w:p>
      <w:pPr>
        <w:pBdr>
          <w:left w:val="single" w:color="1B4F72" w:sz="6" w:space="4"/>
        </w:pBdr>
        <w:shd w:fill="F8F9FA" w:val="clear"/>
        <w:spacing w:after="40" w:before="40"/>
        <w:ind w:left="360"/>
      </w:pPr>
      <w:r>
        <w:rPr>
          <w:rFonts w:ascii="Courier New" w:cs="Courier New" w:eastAsia="Courier New" w:hAnsi="Courier New"/>
          <w:color w:val="2C3E50"/>
          <w:sz w:val="17"/>
          <w:szCs w:val="17"/>
        </w:rPr>
        <w:t xml:space="preserve">  QSE:      ':QSE',        // Qatar Stock Exchange</w:t>
      </w:r>
    </w:p>
    <w:p>
      <w:pPr>
        <w:pBdr>
          <w:left w:val="single" w:color="1B4F72" w:sz="6" w:space="4"/>
        </w:pBdr>
        <w:shd w:fill="F8F9FA" w:val="clear"/>
        <w:spacing w:after="40" w:before="40"/>
        <w:ind w:left="360"/>
      </w:pPr>
      <w:r>
        <w:rPr>
          <w:rFonts w:ascii="Courier New" w:cs="Courier New" w:eastAsia="Courier New" w:hAnsi="Courier New"/>
          <w:color w:val="2C3E50"/>
          <w:sz w:val="17"/>
          <w:szCs w:val="17"/>
        </w:rPr>
        <w:t xml:space="preserve">  BHB:      ':BHB',        // Bahrain Bourse</w:t>
      </w:r>
    </w:p>
    <w:p>
      <w:pPr>
        <w:pBdr>
          <w:left w:val="single" w:color="1B4F72" w:sz="6" w:space="4"/>
        </w:pBdr>
        <w:shd w:fill="F8F9FA" w:val="clear"/>
        <w:spacing w:after="40" w:before="40"/>
        <w:ind w:left="360"/>
      </w:pPr>
      <w:r>
        <w:rPr>
          <w:rFonts w:ascii="Courier New" w:cs="Courier New" w:eastAsia="Courier New" w:hAnsi="Courier New"/>
          <w:color w:val="2C3E50"/>
          <w:sz w:val="17"/>
          <w:szCs w:val="17"/>
        </w:rPr>
        <w:t xml:space="preserve">  MSM:      ':MSM',        // Muscat Securities Market</w:t>
      </w:r>
    </w:p>
    <w:p>
      <w:pPr>
        <w:pBdr>
          <w:left w:val="single" w:color="1B4F72" w:sz="6" w:space="4"/>
        </w:pBdr>
        <w:shd w:fill="F8F9FA" w:val="clear"/>
        <w:spacing w:after="40" w:before="40"/>
        <w:ind w:left="360"/>
      </w:pPr>
      <w:r>
        <w:rPr>
          <w:rFonts w:ascii="Courier New" w:cs="Courier New" w:eastAsia="Courier New" w:hAnsi="Courier New"/>
          <w:color w:val="2C3E50"/>
          <w:sz w:val="17"/>
          <w:szCs w:val="17"/>
        </w:rPr>
        <w:t xml:space="preserve">  KSE:      ':KSE',        // Kuwait Stock Exchange</w:t>
      </w:r>
    </w:p>
    <w:p>
      <w:pPr>
        <w:pBdr>
          <w:left w:val="single" w:color="1B4F72" w:sz="6" w:space="4"/>
        </w:pBdr>
        <w:shd w:fill="F8F9FA" w:val="clear"/>
        <w:spacing w:after="40" w:before="40"/>
        <w:ind w:left="360"/>
      </w:pPr>
      <w:r>
        <w:rPr>
          <w:rFonts w:ascii="Courier New" w:cs="Courier New" w:eastAsia="Courier New" w:hAnsi="Courier New"/>
          <w:color w:val="2C3E50"/>
          <w:sz w:val="17"/>
          <w:szCs w:val="17"/>
        </w:rPr>
        <w:t xml:space="preserve">};</w:t>
      </w:r>
    </w:p>
    <w:p>
      <w:pPr>
        <w:spacing w:after="80" w:before="80"/>
      </w:pPr>
    </w:p>
    <w:p>
      <w:pPr>
        <w:spacing w:after="160" w:before="0" w:line="276"/>
      </w:pPr>
      <w:r>
        <w:rPr>
          <w:rFonts w:ascii="Arial" w:cs="Arial" w:eastAsia="Arial" w:hAnsi="Arial"/>
          <w:sz w:val="22"/>
          <w:szCs w:val="22"/>
        </w:rPr>
        <w:t xml:space="preserve">US exchanges (NASDAQ, NYSE, AMEX) are excluded. Twelve Data resolves US tickers without exchange qualification, so these pass through unchanged.</w:t>
      </w:r>
    </w:p>
    <w:p>
      <w:pPr>
        <w:pStyle w:val="Heading3"/>
        <w:spacing w:after="120" w:before="220"/>
      </w:pPr>
      <w:r>
        <w:rPr>
          <w:rFonts w:ascii="Arial" w:cs="Arial" w:eastAsia="Arial" w:hAnsi="Arial"/>
        </w:rPr>
        <w:t xml:space="preserve">3.3.2 Tier 2 — Database Fallback (Cached)</w:t>
      </w:r>
    </w:p>
    <w:p>
      <w:pPr>
        <w:spacing w:after="160" w:before="0" w:line="276"/>
      </w:pPr>
      <w:r>
        <w:rPr>
          <w:rFonts w:ascii="Arial" w:cs="Arial" w:eastAsia="Arial" w:hAnsi="Arial"/>
          <w:sz w:val="22"/>
          <w:szCs w:val="22"/>
        </w:rPr>
        <w:t xml:space="preserve">If the symbol is not in the static map’s known set, the normalizer queries the instruments table:</w:t>
      </w:r>
    </w:p>
    <w:p>
      <w:pPr>
        <w:pBdr>
          <w:left w:val="single" w:color="1B4F72" w:sz="6" w:space="4"/>
        </w:pBdr>
        <w:shd w:fill="F8F9FA" w:val="clear"/>
        <w:spacing w:after="40" w:before="40"/>
        <w:ind w:left="360"/>
      </w:pPr>
      <w:r>
        <w:rPr>
          <w:rFonts w:ascii="Courier New" w:cs="Courier New" w:eastAsia="Courier New" w:hAnsi="Courier New"/>
          <w:color w:val="2C3E50"/>
          <w:sz w:val="17"/>
          <w:szCs w:val="17"/>
        </w:rPr>
        <w:t xml:space="preserve">SELECT symbol, name, exchange, currency</w:t>
      </w:r>
    </w:p>
    <w:p>
      <w:pPr>
        <w:pBdr>
          <w:left w:val="single" w:color="1B4F72" w:sz="6" w:space="4"/>
        </w:pBdr>
        <w:shd w:fill="F8F9FA" w:val="clear"/>
        <w:spacing w:after="40" w:before="40"/>
        <w:ind w:left="360"/>
      </w:pPr>
      <w:r>
        <w:rPr>
          <w:rFonts w:ascii="Courier New" w:cs="Courier New" w:eastAsia="Courier New" w:hAnsi="Courier New"/>
          <w:color w:val="2C3E50"/>
          <w:sz w:val="17"/>
          <w:szCs w:val="17"/>
        </w:rPr>
        <w:t xml:space="preserve">FROM instruments</w:t>
      </w:r>
    </w:p>
    <w:p>
      <w:pPr>
        <w:pBdr>
          <w:left w:val="single" w:color="1B4F72" w:sz="6" w:space="4"/>
        </w:pBdr>
        <w:shd w:fill="F8F9FA" w:val="clear"/>
        <w:spacing w:after="40" w:before="40"/>
        <w:ind w:left="360"/>
      </w:pPr>
      <w:r>
        <w:rPr>
          <w:rFonts w:ascii="Courier New" w:cs="Courier New" w:eastAsia="Courier New" w:hAnsi="Courier New"/>
          <w:color w:val="2C3E50"/>
          <w:sz w:val="17"/>
          <w:szCs w:val="17"/>
        </w:rPr>
        <w:t xml:space="preserve">WHERE UPPER(symbol) = $1 AND is_active = TRUE</w:t>
      </w:r>
    </w:p>
    <w:p>
      <w:pPr>
        <w:pBdr>
          <w:left w:val="single" w:color="1B4F72" w:sz="6" w:space="4"/>
        </w:pBdr>
        <w:shd w:fill="F8F9FA" w:val="clear"/>
        <w:spacing w:after="40" w:before="40"/>
        <w:ind w:left="360"/>
      </w:pPr>
      <w:r>
        <w:rPr>
          <w:rFonts w:ascii="Courier New" w:cs="Courier New" w:eastAsia="Courier New" w:hAnsi="Courier New"/>
          <w:color w:val="2C3E50"/>
          <w:sz w:val="17"/>
          <w:szCs w:val="17"/>
        </w:rPr>
        <w:t xml:space="preserve">LIMIT 1</w:t>
      </w:r>
    </w:p>
    <w:p>
      <w:pPr>
        <w:spacing w:after="160" w:before="0" w:line="276"/>
      </w:pPr>
      <w:r>
        <w:rPr>
          <w:rFonts w:ascii="Arial" w:cs="Arial" w:eastAsia="Arial" w:hAnsi="Arial"/>
          <w:sz w:val="22"/>
          <w:szCs w:val="22"/>
        </w:rPr>
        <w:t xml:space="preserve">The result is cached in the in-memory TTL cache with a 1-hour TTL (exchange assignments don’t change intraday). If the DB returns an exchange that is in EXCHANGE_MAP, the colon-notated form is built. If the exchange is US or unknown, the bare ticker is returned.</w:t>
      </w:r>
    </w:p>
    <w:p>
      <w:pPr>
        <w:pStyle w:val="Heading3"/>
        <w:spacing w:after="120" w:before="220"/>
      </w:pPr>
      <w:r>
        <w:rPr>
          <w:rFonts w:ascii="Arial" w:cs="Arial" w:eastAsia="Arial" w:hAnsi="Arial"/>
        </w:rPr>
        <w:t xml:space="preserve">3.3.3 Ticker Override Map</w:t>
      </w:r>
    </w:p>
    <w:p>
      <w:pPr>
        <w:spacing w:after="160" w:before="0" w:line="276"/>
      </w:pPr>
      <w:r>
        <w:rPr>
          <w:rFonts w:ascii="Arial" w:cs="Arial" w:eastAsia="Arial" w:hAnsi="Arial"/>
          <w:sz w:val="22"/>
          <w:szCs w:val="22"/>
        </w:rPr>
        <w:t xml:space="preserve">Some instruments have internal Ada symbols that differ from Twelve Data’s canonical ticker. The most important case is Saudi Aramco, listed as 2222 on Tadawul but stored as ARAMCO in Ada’s instruments table:</w:t>
      </w:r>
    </w:p>
    <w:p>
      <w:pPr>
        <w:pBdr>
          <w:left w:val="single" w:color="1B4F72" w:sz="6" w:space="4"/>
        </w:pBdr>
        <w:shd w:fill="F8F9FA" w:val="clear"/>
        <w:spacing w:after="40" w:before="40"/>
        <w:ind w:left="360"/>
      </w:pPr>
      <w:r>
        <w:rPr>
          <w:rFonts w:ascii="Courier New" w:cs="Courier New" w:eastAsia="Courier New" w:hAnsi="Courier New"/>
          <w:color w:val="2C3E50"/>
          <w:sz w:val="17"/>
          <w:szCs w:val="17"/>
        </w:rPr>
        <w:t xml:space="preserve">const TICKER_OVERRIDES: Record&lt;string, string&gt; = {</w:t>
      </w:r>
    </w:p>
    <w:p>
      <w:pPr>
        <w:pBdr>
          <w:left w:val="single" w:color="1B4F72" w:sz="6" w:space="4"/>
        </w:pBdr>
        <w:shd w:fill="F8F9FA" w:val="clear"/>
        <w:spacing w:after="40" w:before="40"/>
        <w:ind w:left="360"/>
      </w:pPr>
      <w:r>
        <w:rPr>
          <w:rFonts w:ascii="Courier New" w:cs="Courier New" w:eastAsia="Courier New" w:hAnsi="Courier New"/>
          <w:color w:val="2C3E50"/>
          <w:sz w:val="17"/>
          <w:szCs w:val="17"/>
        </w:rPr>
        <w:t xml:space="preserve">  ARAMCO: '2222',    // Saudi Aramco Tadawul ticker</w:t>
      </w:r>
    </w:p>
    <w:p>
      <w:pPr>
        <w:pBdr>
          <w:left w:val="single" w:color="1B4F72" w:sz="6" w:space="4"/>
        </w:pBdr>
        <w:shd w:fill="F8F9FA" w:val="clear"/>
        <w:spacing w:after="40" w:before="40"/>
        <w:ind w:left="360"/>
      </w:pPr>
      <w:r>
        <w:rPr>
          <w:rFonts w:ascii="Courier New" w:cs="Courier New" w:eastAsia="Courier New" w:hAnsi="Courier New"/>
          <w:color w:val="2C3E50"/>
          <w:sz w:val="17"/>
          <w:szCs w:val="17"/>
        </w:rPr>
        <w:t xml:space="preserve">};</w:t>
      </w:r>
    </w:p>
    <w:p>
      <w:pPr>
        <w:spacing w:after="160" w:before="0" w:line="276"/>
      </w:pPr>
      <w:r>
        <w:rPr>
          <w:rFonts w:ascii="Arial" w:cs="Arial" w:eastAsia="Arial" w:hAnsi="Arial"/>
          <w:sz w:val="22"/>
          <w:szCs w:val="22"/>
        </w:rPr>
        <w:t xml:space="preserve">Overrides are applied before exchange suffixing: ARAMCO → 2222 → 2222:TADAWUL. This pattern extends to any instrument where Ada’s internal symbol differs from the provider’s canonical ticker.</w:t>
      </w:r>
    </w:p>
    <w:p>
      <w:pPr>
        <w:pStyle w:val="Heading2"/>
        <w:spacing w:after="180" w:before="280"/>
      </w:pPr>
      <w:r>
        <w:rPr>
          <w:rFonts w:ascii="Arial" w:cs="Arial" w:eastAsia="Arial" w:hAnsi="Arial"/>
        </w:rPr>
        <w:t xml:space="preserve">3.4 Complete Resolution Flow</w:t>
      </w:r>
    </w:p>
    <w:p>
      <w:pPr>
        <w:pBdr>
          <w:left w:val="single" w:color="1B4F72" w:sz="6" w:space="4"/>
        </w:pBdr>
        <w:shd w:fill="F8F9FA" w:val="clear"/>
        <w:spacing w:after="40" w:before="40"/>
        <w:ind w:left="360"/>
      </w:pPr>
      <w:r>
        <w:rPr>
          <w:rFonts w:ascii="Courier New" w:cs="Courier New" w:eastAsia="Courier New" w:hAnsi="Courier New"/>
          <w:color w:val="2C3E50"/>
          <w:sz w:val="17"/>
          <w:szCs w:val="17"/>
        </w:rPr>
        <w:t xml:space="preserve">resolveSymbol('EMAAR')</w:t>
      </w:r>
    </w:p>
    <w:p>
      <w:pPr>
        <w:pBdr>
          <w:left w:val="single" w:color="1B4F72" w:sz="6" w:space="4"/>
        </w:pBdr>
        <w:shd w:fill="F8F9FA" w:val="clear"/>
        <w:spacing w:after="40" w:before="40"/>
        <w:ind w:left="360"/>
      </w:pPr>
      <w:r>
        <w:rPr>
          <w:rFonts w:ascii="Courier New" w:cs="Courier New" w:eastAsia="Courier New" w:hAnsi="Courier New"/>
          <w:color w:val="2C3E50"/>
          <w:sz w:val="17"/>
          <w:szCs w:val="17"/>
        </w:rPr>
        <w:t xml:space="preserve">  1. Check in-memory cache: sym_norm:EMAAR → miss</w:t>
      </w:r>
    </w:p>
    <w:p>
      <w:pPr>
        <w:pBdr>
          <w:left w:val="single" w:color="1B4F72" w:sz="6" w:space="4"/>
        </w:pBdr>
        <w:shd w:fill="F8F9FA" w:val="clear"/>
        <w:spacing w:after="40" w:before="40"/>
        <w:ind w:left="360"/>
      </w:pPr>
      <w:r>
        <w:rPr>
          <w:rFonts w:ascii="Courier New" w:cs="Courier New" w:eastAsia="Courier New" w:hAnsi="Courier New"/>
          <w:color w:val="2C3E50"/>
          <w:sz w:val="17"/>
          <w:szCs w:val="17"/>
        </w:rPr>
        <w:t xml:space="preserve">  2. Check TICKER_OVERRIDES: EMAAR not found → provider_ticker = 'EMAAR'</w:t>
      </w:r>
    </w:p>
    <w:p>
      <w:pPr>
        <w:pBdr>
          <w:left w:val="single" w:color="1B4F72" w:sz="6" w:space="4"/>
        </w:pBdr>
        <w:shd w:fill="F8F9FA" w:val="clear"/>
        <w:spacing w:after="40" w:before="40"/>
        <w:ind w:left="360"/>
      </w:pPr>
      <w:r>
        <w:rPr>
          <w:rFonts w:ascii="Courier New" w:cs="Courier New" w:eastAsia="Courier New" w:hAnsi="Courier New"/>
          <w:color w:val="2C3E50"/>
          <w:sz w:val="17"/>
          <w:szCs w:val="17"/>
        </w:rPr>
        <w:t xml:space="preserve">  3. Query instruments table: exchange = 'DFM', name = 'Emaar Properties', currency = 'AED'</w:t>
      </w:r>
    </w:p>
    <w:p>
      <w:pPr>
        <w:pBdr>
          <w:left w:val="single" w:color="1B4F72" w:sz="6" w:space="4"/>
        </w:pBdr>
        <w:shd w:fill="F8F9FA" w:val="clear"/>
        <w:spacing w:after="40" w:before="40"/>
        <w:ind w:left="360"/>
      </w:pPr>
      <w:r>
        <w:rPr>
          <w:rFonts w:ascii="Courier New" w:cs="Courier New" w:eastAsia="Courier New" w:hAnsi="Courier New"/>
          <w:color w:val="2C3E50"/>
          <w:sz w:val="17"/>
          <w:szCs w:val="17"/>
        </w:rPr>
        <w:t xml:space="preserve">  4. Check EXCHANGE_MAP: DFM → ':DFM'</w:t>
      </w:r>
    </w:p>
    <w:p>
      <w:pPr>
        <w:pBdr>
          <w:left w:val="single" w:color="1B4F72" w:sz="6" w:space="4"/>
        </w:pBdr>
        <w:shd w:fill="F8F9FA" w:val="clear"/>
        <w:spacing w:after="40" w:before="40"/>
        <w:ind w:left="360"/>
      </w:pPr>
      <w:r>
        <w:rPr>
          <w:rFonts w:ascii="Courier New" w:cs="Courier New" w:eastAsia="Courier New" w:hAnsi="Courier New"/>
          <w:color w:val="2C3E50"/>
          <w:sz w:val="17"/>
          <w:szCs w:val="17"/>
        </w:rPr>
        <w:t xml:space="preserve">  5. Build result:</w:t>
      </w:r>
    </w:p>
    <w:p>
      <w:pPr>
        <w:pBdr>
          <w:left w:val="single" w:color="1B4F72" w:sz="6" w:space="4"/>
        </w:pBdr>
        <w:shd w:fill="F8F9FA" w:val="clear"/>
        <w:spacing w:after="40" w:before="40"/>
        <w:ind w:left="360"/>
      </w:pPr>
      <w:r>
        <w:rPr>
          <w:rFonts w:ascii="Courier New" w:cs="Courier New" w:eastAsia="Courier New" w:hAnsi="Courier New"/>
          <w:color w:val="2C3E50"/>
          <w:sz w:val="17"/>
          <w:szCs w:val="17"/>
        </w:rPr>
        <w:t xml:space="preserve">     {</w:t>
      </w:r>
    </w:p>
    <w:p>
      <w:pPr>
        <w:pBdr>
          <w:left w:val="single" w:color="1B4F72" w:sz="6" w:space="4"/>
        </w:pBdr>
        <w:shd w:fill="F8F9FA" w:val="clear"/>
        <w:spacing w:after="40" w:before="40"/>
        <w:ind w:left="360"/>
      </w:pPr>
      <w:r>
        <w:rPr>
          <w:rFonts w:ascii="Courier New" w:cs="Courier New" w:eastAsia="Courier New" w:hAnsi="Courier New"/>
          <w:color w:val="2C3E50"/>
          <w:sz w:val="17"/>
          <w:szCs w:val="17"/>
        </w:rPr>
        <w:t xml:space="preserve">       ada_symbol: 'EMAAR',</w:t>
      </w:r>
    </w:p>
    <w:p>
      <w:pPr>
        <w:pBdr>
          <w:left w:val="single" w:color="1B4F72" w:sz="6" w:space="4"/>
        </w:pBdr>
        <w:shd w:fill="F8F9FA" w:val="clear"/>
        <w:spacing w:after="40" w:before="40"/>
        <w:ind w:left="360"/>
      </w:pPr>
      <w:r>
        <w:rPr>
          <w:rFonts w:ascii="Courier New" w:cs="Courier New" w:eastAsia="Courier New" w:hAnsi="Courier New"/>
          <w:color w:val="2C3E50"/>
          <w:sz w:val="17"/>
          <w:szCs w:val="17"/>
        </w:rPr>
        <w:t xml:space="preserve">       provider_ticker: 'EMAAR',</w:t>
      </w:r>
    </w:p>
    <w:p>
      <w:pPr>
        <w:pBdr>
          <w:left w:val="single" w:color="1B4F72" w:sz="6" w:space="4"/>
        </w:pBdr>
        <w:shd w:fill="F8F9FA" w:val="clear"/>
        <w:spacing w:after="40" w:before="40"/>
        <w:ind w:left="360"/>
      </w:pPr>
      <w:r>
        <w:rPr>
          <w:rFonts w:ascii="Courier New" w:cs="Courier New" w:eastAsia="Courier New" w:hAnsi="Courier New"/>
          <w:color w:val="2C3E50"/>
          <w:sz w:val="17"/>
          <w:szCs w:val="17"/>
        </w:rPr>
        <w:t xml:space="preserve">       exchange: 'DFM',</w:t>
      </w:r>
    </w:p>
    <w:p>
      <w:pPr>
        <w:pBdr>
          <w:left w:val="single" w:color="1B4F72" w:sz="6" w:space="4"/>
        </w:pBdr>
        <w:shd w:fill="F8F9FA" w:val="clear"/>
        <w:spacing w:after="40" w:before="40"/>
        <w:ind w:left="360"/>
      </w:pPr>
      <w:r>
        <w:rPr>
          <w:rFonts w:ascii="Courier New" w:cs="Courier New" w:eastAsia="Courier New" w:hAnsi="Courier New"/>
          <w:color w:val="2C3E50"/>
          <w:sz w:val="17"/>
          <w:szCs w:val="17"/>
        </w:rPr>
        <w:t xml:space="preserve">       qualified: 'EMAAR:DFM',</w:t>
      </w:r>
    </w:p>
    <w:p>
      <w:pPr>
        <w:pBdr>
          <w:left w:val="single" w:color="1B4F72" w:sz="6" w:space="4"/>
        </w:pBdr>
        <w:shd w:fill="F8F9FA" w:val="clear"/>
        <w:spacing w:after="40" w:before="40"/>
        <w:ind w:left="360"/>
      </w:pPr>
      <w:r>
        <w:rPr>
          <w:rFonts w:ascii="Courier New" w:cs="Courier New" w:eastAsia="Courier New" w:hAnsi="Courier New"/>
          <w:color w:val="2C3E50"/>
          <w:sz w:val="17"/>
          <w:szCs w:val="17"/>
        </w:rPr>
        <w:t xml:space="preserve">       display_name: 'Emaar Properties (DFM)',</w:t>
      </w:r>
    </w:p>
    <w:p>
      <w:pPr>
        <w:pBdr>
          <w:left w:val="single" w:color="1B4F72" w:sz="6" w:space="4"/>
        </w:pBdr>
        <w:shd w:fill="F8F9FA" w:val="clear"/>
        <w:spacing w:after="40" w:before="40"/>
        <w:ind w:left="360"/>
      </w:pPr>
      <w:r>
        <w:rPr>
          <w:rFonts w:ascii="Courier New" w:cs="Courier New" w:eastAsia="Courier New" w:hAnsi="Courier New"/>
          <w:color w:val="2C3E50"/>
          <w:sz w:val="17"/>
          <w:szCs w:val="17"/>
        </w:rPr>
        <w:t xml:space="preserve">       currency: 'AED',</w:t>
      </w:r>
    </w:p>
    <w:p>
      <w:pPr>
        <w:pBdr>
          <w:left w:val="single" w:color="1B4F72" w:sz="6" w:space="4"/>
        </w:pBdr>
        <w:shd w:fill="F8F9FA" w:val="clear"/>
        <w:spacing w:after="40" w:before="40"/>
        <w:ind w:left="360"/>
      </w:pPr>
      <w:r>
        <w:rPr>
          <w:rFonts w:ascii="Courier New" w:cs="Courier New" w:eastAsia="Courier New" w:hAnsi="Courier New"/>
          <w:color w:val="2C3E50"/>
          <w:sz w:val="17"/>
          <w:szCs w:val="17"/>
        </w:rPr>
        <w:t xml:space="preserve">       source: 'db_lookup'</w:t>
      </w:r>
    </w:p>
    <w:p>
      <w:pPr>
        <w:pBdr>
          <w:left w:val="single" w:color="1B4F72" w:sz="6" w:space="4"/>
        </w:pBdr>
        <w:shd w:fill="F8F9FA" w:val="clear"/>
        <w:spacing w:after="40" w:before="40"/>
        <w:ind w:left="360"/>
      </w:pPr>
      <w:r>
        <w:rPr>
          <w:rFonts w:ascii="Courier New" w:cs="Courier New" w:eastAsia="Courier New" w:hAnsi="Courier New"/>
          <w:color w:val="2C3E50"/>
          <w:sz w:val="17"/>
          <w:szCs w:val="17"/>
        </w:rPr>
        <w:t xml:space="preserve">     }</w:t>
      </w:r>
    </w:p>
    <w:p>
      <w:pPr>
        <w:pBdr>
          <w:left w:val="single" w:color="1B4F72" w:sz="6" w:space="4"/>
        </w:pBdr>
        <w:shd w:fill="F8F9FA" w:val="clear"/>
        <w:spacing w:after="40" w:before="40"/>
        <w:ind w:left="360"/>
      </w:pPr>
      <w:r>
        <w:rPr>
          <w:rFonts w:ascii="Courier New" w:cs="Courier New" w:eastAsia="Courier New" w:hAnsi="Courier New"/>
          <w:color w:val="2C3E50"/>
          <w:sz w:val="17"/>
          <w:szCs w:val="17"/>
        </w:rPr>
        <w:t xml:space="preserve">  6. Cache result: sym_norm:EMAAR → result (TTL: 1h)</w:t>
      </w:r>
    </w:p>
    <w:p>
      <w:pPr>
        <w:pBdr>
          <w:left w:val="single" w:color="1B4F72" w:sz="6" w:space="4"/>
        </w:pBdr>
        <w:shd w:fill="F8F9FA" w:val="clear"/>
        <w:spacing w:after="40" w:before="40"/>
        <w:ind w:left="360"/>
      </w:pPr>
      <w:r>
        <w:rPr>
          <w:rFonts w:ascii="Courier New" w:cs="Courier New" w:eastAsia="Courier New" w:hAnsi="Courier New"/>
          <w:color w:val="2C3E50"/>
          <w:sz w:val="17"/>
          <w:szCs w:val="17"/>
        </w:rPr>
        <w:t xml:space="preserve">  7. Audit log: [symbolNormalizer] EMAAR → EMAAR:DFM (source: db_lookup)</w:t>
      </w:r>
    </w:p>
    <w:p>
      <w:pPr>
        <w:spacing w:after="80" w:before="80"/>
      </w:pPr>
    </w:p>
    <w:p>
      <w:pPr>
        <w:spacing w:after="160" w:before="0" w:line="276"/>
      </w:pPr>
      <w:r>
        <w:rPr>
          <w:rFonts w:ascii="Arial" w:cs="Arial" w:eastAsia="Arial" w:hAnsi="Arial"/>
          <w:b/>
          <w:bCs/>
          <w:sz w:val="22"/>
          <w:szCs w:val="22"/>
        </w:rPr>
        <w:t xml:space="preserve">The audit log line (step 7) </w:t>
      </w:r>
      <w:r>
        <w:rPr>
          <w:rFonts w:ascii="Arial" w:cs="Arial" w:eastAsia="Arial" w:hAnsi="Arial"/>
          <w:sz w:val="22"/>
          <w:szCs w:val="22"/>
        </w:rPr>
        <w:t xml:space="preserve">is cheap to produce and directly targets the exact failure class that caused the original Emaar problem. If a symbol resolution ever goes wrong, the log shows exactly what happened.</w:t>
      </w:r>
    </w:p>
    <w:p>
      <w:pPr>
        <w:pStyle w:val="Heading2"/>
        <w:spacing w:after="180" w:before="280"/>
      </w:pPr>
      <w:r>
        <w:rPr>
          <w:rFonts w:ascii="Arial" w:cs="Arial" w:eastAsia="Arial" w:hAnsi="Arial"/>
        </w:rPr>
        <w:t xml:space="preserve">3.5 Aramco Resolution Flow</w:t>
      </w:r>
    </w:p>
    <w:p>
      <w:pPr>
        <w:pBdr>
          <w:left w:val="single" w:color="1B4F72" w:sz="6" w:space="4"/>
        </w:pBdr>
        <w:shd w:fill="F8F9FA" w:val="clear"/>
        <w:spacing w:after="40" w:before="40"/>
        <w:ind w:left="360"/>
      </w:pPr>
      <w:r>
        <w:rPr>
          <w:rFonts w:ascii="Courier New" w:cs="Courier New" w:eastAsia="Courier New" w:hAnsi="Courier New"/>
          <w:color w:val="2C3E50"/>
          <w:sz w:val="17"/>
          <w:szCs w:val="17"/>
        </w:rPr>
        <w:t xml:space="preserve">resolveSymbol('ARAMCO')</w:t>
      </w:r>
    </w:p>
    <w:p>
      <w:pPr>
        <w:pBdr>
          <w:left w:val="single" w:color="1B4F72" w:sz="6" w:space="4"/>
        </w:pBdr>
        <w:shd w:fill="F8F9FA" w:val="clear"/>
        <w:spacing w:after="40" w:before="40"/>
        <w:ind w:left="360"/>
      </w:pPr>
      <w:r>
        <w:rPr>
          <w:rFonts w:ascii="Courier New" w:cs="Courier New" w:eastAsia="Courier New" w:hAnsi="Courier New"/>
          <w:color w:val="2C3E50"/>
          <w:sz w:val="17"/>
          <w:szCs w:val="17"/>
        </w:rPr>
        <w:t xml:space="preserve">  1. Cache: miss</w:t>
      </w:r>
    </w:p>
    <w:p>
      <w:pPr>
        <w:pBdr>
          <w:left w:val="single" w:color="1B4F72" w:sz="6" w:space="4"/>
        </w:pBdr>
        <w:shd w:fill="F8F9FA" w:val="clear"/>
        <w:spacing w:after="40" w:before="40"/>
        <w:ind w:left="360"/>
      </w:pPr>
      <w:r>
        <w:rPr>
          <w:rFonts w:ascii="Courier New" w:cs="Courier New" w:eastAsia="Courier New" w:hAnsi="Courier New"/>
          <w:color w:val="2C3E50"/>
          <w:sz w:val="17"/>
          <w:szCs w:val="17"/>
        </w:rPr>
        <w:t xml:space="preserve">  2. TICKER_OVERRIDES: ARAMCO → '2222' (provider_ticker overridden)</w:t>
      </w:r>
    </w:p>
    <w:p>
      <w:pPr>
        <w:pBdr>
          <w:left w:val="single" w:color="1B4F72" w:sz="6" w:space="4"/>
        </w:pBdr>
        <w:shd w:fill="F8F9FA" w:val="clear"/>
        <w:spacing w:after="40" w:before="40"/>
        <w:ind w:left="360"/>
      </w:pPr>
      <w:r>
        <w:rPr>
          <w:rFonts w:ascii="Courier New" w:cs="Courier New" w:eastAsia="Courier New" w:hAnsi="Courier New"/>
          <w:color w:val="2C3E50"/>
          <w:sz w:val="17"/>
          <w:szCs w:val="17"/>
        </w:rPr>
        <w:t xml:space="preserve">  3. DB lookup: exchange = 'TADAWUL', name = 'Saudi Aramco', currency = 'SAR'</w:t>
      </w:r>
    </w:p>
    <w:p>
      <w:pPr>
        <w:pBdr>
          <w:left w:val="single" w:color="1B4F72" w:sz="6" w:space="4"/>
        </w:pBdr>
        <w:shd w:fill="F8F9FA" w:val="clear"/>
        <w:spacing w:after="40" w:before="40"/>
        <w:ind w:left="360"/>
      </w:pPr>
      <w:r>
        <w:rPr>
          <w:rFonts w:ascii="Courier New" w:cs="Courier New" w:eastAsia="Courier New" w:hAnsi="Courier New"/>
          <w:color w:val="2C3E50"/>
          <w:sz w:val="17"/>
          <w:szCs w:val="17"/>
        </w:rPr>
        <w:t xml:space="preserve">  4. EXCHANGE_MAP: TADAWUL → ':TADAWUL'</w:t>
      </w:r>
    </w:p>
    <w:p>
      <w:pPr>
        <w:pBdr>
          <w:left w:val="single" w:color="1B4F72" w:sz="6" w:space="4"/>
        </w:pBdr>
        <w:shd w:fill="F8F9FA" w:val="clear"/>
        <w:spacing w:after="40" w:before="40"/>
        <w:ind w:left="360"/>
      </w:pPr>
      <w:r>
        <w:rPr>
          <w:rFonts w:ascii="Courier New" w:cs="Courier New" w:eastAsia="Courier New" w:hAnsi="Courier New"/>
          <w:color w:val="2C3E50"/>
          <w:sz w:val="17"/>
          <w:szCs w:val="17"/>
        </w:rPr>
        <w:t xml:space="preserve">  5. Result: { qualified: '2222:TADAWUL', source: 'override' }</w:t>
      </w:r>
    </w:p>
    <w:p>
      <w:pPr>
        <w:pBdr>
          <w:left w:val="single" w:color="1B4F72" w:sz="6" w:space="4"/>
        </w:pBdr>
        <w:shd w:fill="F8F9FA" w:val="clear"/>
        <w:spacing w:after="40" w:before="40"/>
        <w:ind w:left="360"/>
      </w:pPr>
      <w:r>
        <w:rPr>
          <w:rFonts w:ascii="Courier New" w:cs="Courier New" w:eastAsia="Courier New" w:hAnsi="Courier New"/>
          <w:color w:val="2C3E50"/>
          <w:sz w:val="17"/>
          <w:szCs w:val="17"/>
        </w:rPr>
        <w:t xml:space="preserve">  6. Audit log: [symbolNormalizer] ARAMCO → 2222:TADAWUL (source: override)</w:t>
      </w:r>
    </w:p>
    <w:p>
      <w:pPr>
        <w:pStyle w:val="Heading2"/>
        <w:spacing w:after="180" w:before="280"/>
      </w:pPr>
      <w:r>
        <w:rPr>
          <w:rFonts w:ascii="Arial" w:cs="Arial" w:eastAsia="Arial" w:hAnsi="Arial"/>
        </w:rPr>
        <w:t xml:space="preserve">3.6 US Equity Passthrough</w:t>
      </w:r>
    </w:p>
    <w:p>
      <w:pPr>
        <w:pBdr>
          <w:left w:val="single" w:color="1B4F72" w:sz="6" w:space="4"/>
        </w:pBdr>
        <w:shd w:fill="F8F9FA" w:val="clear"/>
        <w:spacing w:after="40" w:before="40"/>
        <w:ind w:left="360"/>
      </w:pPr>
      <w:r>
        <w:rPr>
          <w:rFonts w:ascii="Courier New" w:cs="Courier New" w:eastAsia="Courier New" w:hAnsi="Courier New"/>
          <w:color w:val="2C3E50"/>
          <w:sz w:val="17"/>
          <w:szCs w:val="17"/>
        </w:rPr>
        <w:t xml:space="preserve">resolveSymbol('AAPL')</w:t>
      </w:r>
    </w:p>
    <w:p>
      <w:pPr>
        <w:pBdr>
          <w:left w:val="single" w:color="1B4F72" w:sz="6" w:space="4"/>
        </w:pBdr>
        <w:shd w:fill="F8F9FA" w:val="clear"/>
        <w:spacing w:after="40" w:before="40"/>
        <w:ind w:left="360"/>
      </w:pPr>
      <w:r>
        <w:rPr>
          <w:rFonts w:ascii="Courier New" w:cs="Courier New" w:eastAsia="Courier New" w:hAnsi="Courier New"/>
          <w:color w:val="2C3E50"/>
          <w:sz w:val="17"/>
          <w:szCs w:val="17"/>
        </w:rPr>
        <w:t xml:space="preserve">  1. Cache: miss</w:t>
      </w:r>
    </w:p>
    <w:p>
      <w:pPr>
        <w:pBdr>
          <w:left w:val="single" w:color="1B4F72" w:sz="6" w:space="4"/>
        </w:pBdr>
        <w:shd w:fill="F8F9FA" w:val="clear"/>
        <w:spacing w:after="40" w:before="40"/>
        <w:ind w:left="360"/>
      </w:pPr>
      <w:r>
        <w:rPr>
          <w:rFonts w:ascii="Courier New" w:cs="Courier New" w:eastAsia="Courier New" w:hAnsi="Courier New"/>
          <w:color w:val="2C3E50"/>
          <w:sz w:val="17"/>
          <w:szCs w:val="17"/>
        </w:rPr>
        <w:t xml:space="preserve">  2. TICKER_OVERRIDES: not found</w:t>
      </w:r>
    </w:p>
    <w:p>
      <w:pPr>
        <w:pBdr>
          <w:left w:val="single" w:color="1B4F72" w:sz="6" w:space="4"/>
        </w:pBdr>
        <w:shd w:fill="F8F9FA" w:val="clear"/>
        <w:spacing w:after="40" w:before="40"/>
        <w:ind w:left="360"/>
      </w:pPr>
      <w:r>
        <w:rPr>
          <w:rFonts w:ascii="Courier New" w:cs="Courier New" w:eastAsia="Courier New" w:hAnsi="Courier New"/>
          <w:color w:val="2C3E50"/>
          <w:sz w:val="17"/>
          <w:szCs w:val="17"/>
        </w:rPr>
        <w:t xml:space="preserve">  3. DB lookup: exchange = 'NASDAQ'</w:t>
      </w:r>
    </w:p>
    <w:p>
      <w:pPr>
        <w:pBdr>
          <w:left w:val="single" w:color="1B4F72" w:sz="6" w:space="4"/>
        </w:pBdr>
        <w:shd w:fill="F8F9FA" w:val="clear"/>
        <w:spacing w:after="40" w:before="40"/>
        <w:ind w:left="360"/>
      </w:pPr>
      <w:r>
        <w:rPr>
          <w:rFonts w:ascii="Courier New" w:cs="Courier New" w:eastAsia="Courier New" w:hAnsi="Courier New"/>
          <w:color w:val="2C3E50"/>
          <w:sz w:val="17"/>
          <w:szCs w:val="17"/>
        </w:rPr>
        <w:t xml:space="preserve">  4. NASDAQ is in PASSTHROUGH_EXCHANGES set → no suffix</w:t>
      </w:r>
    </w:p>
    <w:p>
      <w:pPr>
        <w:pBdr>
          <w:left w:val="single" w:color="1B4F72" w:sz="6" w:space="4"/>
        </w:pBdr>
        <w:shd w:fill="F8F9FA" w:val="clear"/>
        <w:spacing w:after="40" w:before="40"/>
        <w:ind w:left="360"/>
      </w:pPr>
      <w:r>
        <w:rPr>
          <w:rFonts w:ascii="Courier New" w:cs="Courier New" w:eastAsia="Courier New" w:hAnsi="Courier New"/>
          <w:color w:val="2C3E50"/>
          <w:sz w:val="17"/>
          <w:szCs w:val="17"/>
        </w:rPr>
        <w:t xml:space="preserve">  5. Result: { qualified: 'AAPL', exchange: null, source: 'passthrough' }</w:t>
      </w:r>
    </w:p>
    <w:p>
      <w:pPr>
        <w:pBdr>
          <w:left w:val="single" w:color="1B4F72" w:sz="6" w:space="4"/>
        </w:pBdr>
        <w:shd w:fill="F8F9FA" w:val="clear"/>
        <w:spacing w:after="40" w:before="40"/>
        <w:ind w:left="360"/>
      </w:pPr>
      <w:r>
        <w:rPr>
          <w:rFonts w:ascii="Courier New" w:cs="Courier New" w:eastAsia="Courier New" w:hAnsi="Courier New"/>
          <w:color w:val="2C3E50"/>
          <w:sz w:val="17"/>
          <w:szCs w:val="17"/>
        </w:rPr>
        <w:t xml:space="preserve">  6. Audit log: [symbolNormalizer] AAPL → AAPL (source: passthrough)</w:t>
      </w:r>
    </w:p>
    <w:p>
      <w:pPr>
        <w:pStyle w:val="Heading2"/>
        <w:spacing w:after="180" w:before="280"/>
      </w:pPr>
      <w:r>
        <w:rPr>
          <w:rFonts w:ascii="Arial" w:cs="Arial" w:eastAsia="Arial" w:hAnsi="Arial"/>
        </w:rPr>
        <w:t xml:space="preserve">3.7 Reverse Normalization</w:t>
      </w:r>
    </w:p>
    <w:p>
      <w:pPr>
        <w:spacing w:after="160" w:before="0" w:line="276"/>
      </w:pPr>
      <w:r>
        <w:rPr>
          <w:rFonts w:ascii="Arial" w:cs="Arial" w:eastAsia="Arial" w:hAnsi="Arial"/>
          <w:sz w:val="22"/>
          <w:szCs w:val="22"/>
        </w:rPr>
        <w:t xml:space="preserve">When Twelve Data responses arrive keyed by provider symbol (e.g., ‘2222:TADAWUL’), the adapter must map back to Ada’s internal symbol. A denormalize function strips the exchange suffix and reverses any ticker overrides:</w:t>
      </w:r>
    </w:p>
    <w:p>
      <w:pPr>
        <w:pBdr>
          <w:left w:val="single" w:color="1B4F72" w:sz="6" w:space="4"/>
        </w:pBdr>
        <w:shd w:fill="F8F9FA" w:val="clear"/>
        <w:spacing w:after="40" w:before="40"/>
        <w:ind w:left="360"/>
      </w:pPr>
      <w:r>
        <w:rPr>
          <w:rFonts w:ascii="Courier New" w:cs="Courier New" w:eastAsia="Courier New" w:hAnsi="Courier New"/>
          <w:color w:val="2C3E50"/>
          <w:sz w:val="17"/>
          <w:szCs w:val="17"/>
        </w:rPr>
        <w:t xml:space="preserve">denormalizeSymbol('2222:TADAWUL')</w:t>
      </w:r>
    </w:p>
    <w:p>
      <w:pPr>
        <w:pBdr>
          <w:left w:val="single" w:color="1B4F72" w:sz="6" w:space="4"/>
        </w:pBdr>
        <w:shd w:fill="F8F9FA" w:val="clear"/>
        <w:spacing w:after="40" w:before="40"/>
        <w:ind w:left="360"/>
      </w:pPr>
      <w:r>
        <w:rPr>
          <w:rFonts w:ascii="Courier New" w:cs="Courier New" w:eastAsia="Courier New" w:hAnsi="Courier New"/>
          <w:color w:val="2C3E50"/>
          <w:sz w:val="17"/>
          <w:szCs w:val="17"/>
        </w:rPr>
        <w:t xml:space="preserve">  1. Strip suffix: '2222'</w:t>
      </w:r>
    </w:p>
    <w:p>
      <w:pPr>
        <w:pBdr>
          <w:left w:val="single" w:color="1B4F72" w:sz="6" w:space="4"/>
        </w:pBdr>
        <w:shd w:fill="F8F9FA" w:val="clear"/>
        <w:spacing w:after="40" w:before="40"/>
        <w:ind w:left="360"/>
      </w:pPr>
      <w:r>
        <w:rPr>
          <w:rFonts w:ascii="Courier New" w:cs="Courier New" w:eastAsia="Courier New" w:hAnsi="Courier New"/>
          <w:color w:val="2C3E50"/>
          <w:sz w:val="17"/>
          <w:szCs w:val="17"/>
        </w:rPr>
        <w:t xml:space="preserve">  2. Reverse TICKER_OVERRIDES: '2222' → 'ARAMCO'</w:t>
      </w:r>
    </w:p>
    <w:p>
      <w:pPr>
        <w:pBdr>
          <w:left w:val="single" w:color="1B4F72" w:sz="6" w:space="4"/>
        </w:pBdr>
        <w:shd w:fill="F8F9FA" w:val="clear"/>
        <w:spacing w:after="40" w:before="40"/>
        <w:ind w:left="360"/>
      </w:pPr>
      <w:r>
        <w:rPr>
          <w:rFonts w:ascii="Courier New" w:cs="Courier New" w:eastAsia="Courier New" w:hAnsi="Courier New"/>
          <w:color w:val="2C3E50"/>
          <w:sz w:val="17"/>
          <w:szCs w:val="17"/>
        </w:rPr>
        <w:t xml:space="preserve">  3. Return: 'ARAMCO'</w:t>
      </w:r>
    </w:p>
    <w:p>
      <w:pPr>
        <w:pStyle w:val="Heading2"/>
        <w:spacing w:after="180" w:before="280"/>
      </w:pPr>
      <w:r>
        <w:rPr>
          <w:rFonts w:ascii="Arial" w:cs="Arial" w:eastAsia="Arial" w:hAnsi="Arial"/>
        </w:rPr>
        <w:t xml:space="preserve">3.8 Future: provider_symbols JSONB Column</w:t>
      </w:r>
    </w:p>
    <w:p>
      <w:pPr>
        <w:spacing w:after="160" w:before="0" w:line="276"/>
      </w:pPr>
      <w:r>
        <w:rPr>
          <w:rFonts w:ascii="Arial" w:cs="Arial" w:eastAsia="Arial" w:hAnsi="Arial"/>
          <w:sz w:val="22"/>
          <w:szCs w:val="22"/>
        </w:rPr>
        <w:t xml:space="preserve">If the instrument set grows beyond a handful of overrides, a provider_symbols JSONB column on the instruments table provides maximum flexibility:</w:t>
      </w:r>
    </w:p>
    <w:p>
      <w:pPr>
        <w:pBdr>
          <w:left w:val="single" w:color="1B4F72" w:sz="6" w:space="4"/>
        </w:pBdr>
        <w:shd w:fill="F8F9FA" w:val="clear"/>
        <w:spacing w:after="40" w:before="40"/>
        <w:ind w:left="360"/>
      </w:pPr>
      <w:r>
        <w:rPr>
          <w:rFonts w:ascii="Courier New" w:cs="Courier New" w:eastAsia="Courier New" w:hAnsi="Courier New"/>
          <w:color w:val="2C3E50"/>
          <w:sz w:val="17"/>
          <w:szCs w:val="17"/>
        </w:rPr>
        <w:t xml:space="preserve">ALTER TABLE instruments ADD COLUMN provider_symbols JSONB DEFAULT '{}';</w:t>
      </w:r>
    </w:p>
    <w:p>
      <w:pPr>
        <w:pBdr>
          <w:left w:val="single" w:color="1B4F72" w:sz="6" w:space="4"/>
        </w:pBdr>
        <w:shd w:fill="F8F9FA" w:val="clear"/>
        <w:spacing w:after="40" w:before="40"/>
        <w:ind w:left="360"/>
      </w:pPr>
      <w:r>
        <w:rPr>
          <w:rFonts w:ascii="Courier New" w:cs="Courier New" w:eastAsia="Courier New" w:hAnsi="Courier New"/>
          <w:color w:val="2C3E50"/>
          <w:sz w:val="17"/>
          <w:szCs w:val="17"/>
        </w:rPr>
        <w:t xml:space="preserve"/>
      </w:r>
    </w:p>
    <w:p>
      <w:pPr>
        <w:pBdr>
          <w:left w:val="single" w:color="1B4F72" w:sz="6" w:space="4"/>
        </w:pBdr>
        <w:shd w:fill="F8F9FA" w:val="clear"/>
        <w:spacing w:after="40" w:before="40"/>
        <w:ind w:left="360"/>
      </w:pPr>
      <w:r>
        <w:rPr>
          <w:rFonts w:ascii="Courier New" w:cs="Courier New" w:eastAsia="Courier New" w:hAnsi="Courier New"/>
          <w:color w:val="2C3E50"/>
          <w:sz w:val="17"/>
          <w:szCs w:val="17"/>
        </w:rPr>
        <w:t xml:space="preserve">-- Example row:</w:t>
      </w:r>
    </w:p>
    <w:p>
      <w:pPr>
        <w:pBdr>
          <w:left w:val="single" w:color="1B4F72" w:sz="6" w:space="4"/>
        </w:pBdr>
        <w:shd w:fill="F8F9FA" w:val="clear"/>
        <w:spacing w:after="40" w:before="40"/>
        <w:ind w:left="360"/>
      </w:pPr>
      <w:r>
        <w:rPr>
          <w:rFonts w:ascii="Courier New" w:cs="Courier New" w:eastAsia="Courier New" w:hAnsi="Courier New"/>
          <w:color w:val="2C3E50"/>
          <w:sz w:val="17"/>
          <w:szCs w:val="17"/>
        </w:rPr>
        <w:t xml:space="preserve">UPDATE instruments SET provider_symbols = '{</w:t>
      </w:r>
    </w:p>
    <w:p>
      <w:pPr>
        <w:pBdr>
          <w:left w:val="single" w:color="1B4F72" w:sz="6" w:space="4"/>
        </w:pBdr>
        <w:shd w:fill="F8F9FA" w:val="clear"/>
        <w:spacing w:after="40" w:before="40"/>
        <w:ind w:left="360"/>
      </w:pPr>
      <w:r>
        <w:rPr>
          <w:rFonts w:ascii="Courier New" w:cs="Courier New" w:eastAsia="Courier New" w:hAnsi="Courier New"/>
          <w:color w:val="2C3E50"/>
          <w:sz w:val="17"/>
          <w:szCs w:val="17"/>
        </w:rPr>
        <w:t xml:space="preserve">  "twelve_data": "2222:TADAWUL",</w:t>
      </w:r>
    </w:p>
    <w:p>
      <w:pPr>
        <w:pBdr>
          <w:left w:val="single" w:color="1B4F72" w:sz="6" w:space="4"/>
        </w:pBdr>
        <w:shd w:fill="F8F9FA" w:val="clear"/>
        <w:spacing w:after="40" w:before="40"/>
        <w:ind w:left="360"/>
      </w:pPr>
      <w:r>
        <w:rPr>
          <w:rFonts w:ascii="Courier New" w:cs="Courier New" w:eastAsia="Courier New" w:hAnsi="Courier New"/>
          <w:color w:val="2C3E50"/>
          <w:sz w:val="17"/>
          <w:szCs w:val="17"/>
        </w:rPr>
        <w:t xml:space="preserve">  "yahoo_finance": "2222.SR"</w:t>
      </w:r>
    </w:p>
    <w:p>
      <w:pPr>
        <w:pBdr>
          <w:left w:val="single" w:color="1B4F72" w:sz="6" w:space="4"/>
        </w:pBdr>
        <w:shd w:fill="F8F9FA" w:val="clear"/>
        <w:spacing w:after="40" w:before="40"/>
        <w:ind w:left="360"/>
      </w:pPr>
      <w:r>
        <w:rPr>
          <w:rFonts w:ascii="Courier New" w:cs="Courier New" w:eastAsia="Courier New" w:hAnsi="Courier New"/>
          <w:color w:val="2C3E50"/>
          <w:sz w:val="17"/>
          <w:szCs w:val="17"/>
        </w:rPr>
        <w:t xml:space="preserve">}' WHERE symbol = 'ARAMCO';</w:t>
      </w:r>
    </w:p>
    <w:p>
      <w:pPr>
        <w:spacing w:after="160" w:before="0" w:line="276"/>
      </w:pPr>
      <w:r>
        <w:rPr>
          <w:rFonts w:ascii="Arial" w:cs="Arial" w:eastAsia="Arial" w:hAnsi="Arial"/>
          <w:sz w:val="22"/>
          <w:szCs w:val="22"/>
        </w:rPr>
        <w:t xml:space="preserve">This is deferred to post-demo. The static map + override map covers the day-1 requirement cleanly. Only add the column when you have 10+ overrides or a second provider that also needs exchange-aware resolution.</w:t>
      </w:r>
    </w:p>
    <w:p>
      <w:r>
        <w:br w:type="page"/>
      </w:r>
    </w:p>
    <w:p>
      <w:pPr>
        <w:pStyle w:val="Heading1"/>
        <w:spacing w:after="200" w:before="380"/>
      </w:pPr>
      <w:r>
        <w:rPr>
          <w:rFonts w:ascii="Arial" w:cs="Arial" w:eastAsia="Arial" w:hAnsi="Arial"/>
        </w:rPr>
        <w:t xml:space="preserve">4. Multi-Provider Fallback Chain</w:t>
      </w:r>
    </w:p>
    <w:p>
      <w:pPr>
        <w:pStyle w:val="Heading2"/>
        <w:spacing w:after="180" w:before="280"/>
      </w:pPr>
      <w:r>
        <w:rPr>
          <w:rFonts w:ascii="Arial" w:cs="Arial" w:eastAsia="Arial" w:hAnsi="Arial"/>
        </w:rPr>
        <w:t xml:space="preserve">4.1 Target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rPr>
          <w:tblHeader/>
        </w:trPr>
        <w:tc>
          <w:tcPr>
            <w:tcW w:type="dxa" w:w="3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19"/>
                <w:szCs w:val="19"/>
              </w:rPr>
              <w:t xml:space="preserve">Env Var</w:t>
            </w:r>
          </w:p>
        </w:tc>
        <w:tc>
          <w:tcPr>
            <w:tcW w:type="dxa" w:w="2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19"/>
                <w:szCs w:val="19"/>
              </w:rPr>
              <w:t xml:space="preserve">Value</w:t>
            </w:r>
          </w:p>
        </w:tc>
        <w:tc>
          <w:tcPr>
            <w:tcW w:type="dxa" w:w="43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19"/>
                <w:szCs w:val="19"/>
              </w:rPr>
              <w:t xml:space="preserve">Effect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MARKET_PROVIDER_PRIMARY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twelve_data</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All getQuotes/getHistoricalPrices calls go to Twelve Data first</w:t>
            </w:r>
          </w:p>
        </w:tc>
      </w:tr>
      <w:tr>
        <w:tc>
          <w:tcPr>
            <w:tcW w:type="dxa" w:w="3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MARKET_PROVIDER_SECONDARY</w:t>
            </w:r>
          </w:p>
        </w:tc>
        <w:tc>
          <w:tcPr>
            <w:tcW w:type="dxa" w:w="2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finnhub</w:t>
            </w:r>
          </w:p>
        </w:tc>
        <w:tc>
          <w:tcPr>
            <w:tcW w:type="dxa" w:w="43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Finnhub catches anything Twelve Data fails 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MARKET_PROVIDER_FALLBACK</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yahoo_finance</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Yahoo Finance as tertiary (US equities only)</w:t>
            </w:r>
          </w:p>
        </w:tc>
      </w:tr>
    </w:tbl>
    <w:p>
      <w:pPr>
        <w:spacing w:after="80" w:before="80"/>
      </w:pPr>
    </w:p>
    <w:p>
      <w:pPr>
        <w:spacing w:after="160" w:before="0" w:line="276"/>
      </w:pPr>
      <w:r>
        <w:rPr>
          <w:rFonts w:ascii="Arial" w:cs="Arial" w:eastAsia="Arial" w:hAnsi="Arial"/>
          <w:sz w:val="22"/>
          <w:szCs w:val="22"/>
        </w:rPr>
        <w:t xml:space="preserve">The resulting chain is: Twelve Data → Finnhub → Yahoo Finance → Mock. The mock provider is always last and always returns seed data as a permanent safety net.</w:t>
      </w:r>
    </w:p>
    <w:p>
      <w:pPr>
        <w:pStyle w:val="Heading2"/>
        <w:spacing w:after="180" w:before="280"/>
      </w:pPr>
      <w:r>
        <w:rPr>
          <w:rFonts w:ascii="Arial" w:cs="Arial" w:eastAsia="Arial" w:hAnsi="Arial"/>
        </w:rPr>
        <w:t xml:space="preserve">4.2 Fallback Semantics</w:t>
      </w:r>
    </w:p>
    <w:p>
      <w:pPr>
        <w:spacing w:after="160" w:before="0" w:line="276"/>
      </w:pPr>
      <w:r>
        <w:rPr>
          <w:rFonts w:ascii="Arial" w:cs="Arial" w:eastAsia="Arial" w:hAnsi="Arial"/>
          <w:sz w:val="22"/>
          <w:szCs w:val="22"/>
        </w:rPr>
        <w:t xml:space="preserve">The existing fallback chain (F-05) uses a Proxy handler in withFallbackChain() that tries providers in order. The chain continues when: (a) a provider throws an exception (caught by the proxy), or (b) a provider returns a ToolResult with status: ‘error’. Both are signaled by the Twelve Data adapter via toolError().</w:t>
      </w:r>
    </w:p>
    <w:p>
      <w:pPr>
        <w:spacing w:after="160" w:before="0" w:line="276"/>
      </w:pPr>
      <w:r>
        <w:rPr>
          <w:rFonts w:ascii="Arial" w:cs="Arial" w:eastAsia="Arial" w:hAnsi="Arial"/>
          <w:sz w:val="22"/>
          <w:szCs w:val="22"/>
        </w:rPr>
        <w:t xml:space="preserve">Health tracking via the sliding-window algorithm in helpers.ts applies automatically. If Twelve Data’s failure rate exceeds 50% over a 5-minute window (minimum 5 attempts), isProviderHealthy(‘twelve_data’) returns false and the chain skips it entirely until the window recovers. Fallback events are persisted to the provider_fallback_events table.</w:t>
      </w:r>
    </w:p>
    <w:p>
      <w:pPr>
        <w:pStyle w:val="Heading2"/>
        <w:spacing w:after="180" w:before="280"/>
      </w:pPr>
      <w:r>
        <w:rPr>
          <w:rFonts w:ascii="Arial" w:cs="Arial" w:eastAsia="Arial" w:hAnsi="Arial"/>
        </w:rPr>
        <w:t xml:space="preserve">4.3 Why Universal Primary, Not Geography-Based Routing</w:t>
      </w:r>
    </w:p>
    <w:p>
      <w:pPr>
        <w:pBdr>
          <w:left w:val="single" w:color="1B4F72" w:sz="8" w:space="6"/>
        </w:pBdr>
        <w:shd w:fill="ECF0F1" w:val="clear"/>
        <w:spacing w:after="160" w:before="120" w:line="300"/>
        <w:ind w:left="360" w:right="360"/>
      </w:pPr>
      <w:r>
        <w:rPr>
          <w:rFonts w:ascii="Arial" w:cs="Arial" w:eastAsia="Arial" w:hAnsi="Arial"/>
          <w:i/>
          <w:iCs/>
          <w:color w:val="555555"/>
          <w:sz w:val="20"/>
          <w:szCs w:val="20"/>
        </w:rPr>
        <w:t xml:space="preserve">A more surgical approach would route GCC symbols to Twelve Data and US symbols to Finnhub based on the instrument’s exchange. This document argues against that design.</w:t>
      </w:r>
    </w:p>
    <w:p>
      <w:pPr>
        <w:spacing w:after="160" w:before="0" w:line="276"/>
      </w:pPr>
      <w:r>
        <w:rPr>
          <w:rFonts w:ascii="Arial" w:cs="Arial" w:eastAsia="Arial" w:hAnsi="Arial"/>
          <w:sz w:val="22"/>
          <w:szCs w:val="22"/>
        </w:rPr>
        <w:t xml:space="preserve">Geography-based routing introduces conditional logic at the wrong layer. The provider chain is designed to be symbol-agnostic: try primary, fall back on failure. Adding exchange-based routing means the chain must know about instrument metadata before dispatching, which couples the registry to the data model. It also creates edge cases: what about instruments listed on multiple exchanges? What about ETFs that span geographies?</w:t>
      </w:r>
    </w:p>
    <w:p>
      <w:pPr>
        <w:spacing w:after="160" w:before="0" w:line="276"/>
      </w:pPr>
      <w:r>
        <w:rPr>
          <w:rFonts w:ascii="Arial" w:cs="Arial" w:eastAsia="Arial" w:hAnsi="Arial"/>
          <w:sz w:val="22"/>
          <w:szCs w:val="22"/>
        </w:rPr>
        <w:t xml:space="preserve">Making Twelve Data the universal primary is simpler and still correct. Twelve Data covers US equities comprehensively (it is a primary market data provider, not a GCC-only service). If it fails for a US symbol, Finnhub catches it. The marginal latency of a single failed call (before falling through to Finnhub) is negligible for a demo. If this ever becomes a production concern, it is a routing policy change, not an architecture change.</w:t>
      </w:r>
    </w:p>
    <w:p>
      <w:r>
        <w:br w:type="page"/>
      </w:r>
    </w:p>
    <w:p>
      <w:pPr>
        <w:pStyle w:val="Heading1"/>
        <w:spacing w:after="200" w:before="380"/>
      </w:pPr>
      <w:r>
        <w:rPr>
          <w:rFonts w:ascii="Arial" w:cs="Arial" w:eastAsia="Arial" w:hAnsi="Arial"/>
        </w:rPr>
        <w:t xml:space="preserve">5. Rate Limits, Cost Management &amp; Caching</w:t>
      </w:r>
    </w:p>
    <w:p>
      <w:pPr>
        <w:pStyle w:val="Heading2"/>
        <w:spacing w:after="180" w:before="280"/>
      </w:pPr>
      <w:r>
        <w:rPr>
          <w:rFonts w:ascii="Arial" w:cs="Arial" w:eastAsia="Arial" w:hAnsi="Arial"/>
        </w:rPr>
        <w:t xml:space="preserve">5.1 Twelve Data Plan Tiers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1100"/>
        <w:gridCol w:w="1800"/>
        <w:gridCol w:w="1600"/>
        <w:gridCol w:w="1260"/>
      </w:tblGrid>
      <w:tr>
        <w:trPr>
          <w:tblHeader/>
        </w:trPr>
        <w:tc>
          <w:tcPr>
            <w:tcW w:type="dxa" w:w="14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19"/>
                <w:szCs w:val="19"/>
              </w:rPr>
              <w:t xml:space="preserve">Plan</w:t>
            </w:r>
          </w:p>
        </w:tc>
        <w:tc>
          <w:tcPr>
            <w:tcW w:type="dxa" w:w="1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19"/>
                <w:szCs w:val="19"/>
              </w:rPr>
              <w:t xml:space="preserve">Credits/min</w:t>
            </w:r>
          </w:p>
        </w:tc>
        <w:tc>
          <w:tcPr>
            <w:tcW w:type="dxa" w:w="11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19"/>
                <w:szCs w:val="19"/>
              </w:rPr>
              <w:t xml:space="preserve">Daily Limit</w:t>
            </w:r>
          </w:p>
        </w:tc>
        <w:tc>
          <w:tcPr>
            <w:tcW w:type="dxa" w:w="1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19"/>
                <w:szCs w:val="19"/>
              </w:rPr>
              <w:t xml:space="preserve">GCC Exchanges</w:t>
            </w:r>
          </w:p>
        </w:tc>
        <w:tc>
          <w:tcPr>
            <w:tcW w:type="dxa" w:w="16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19"/>
                <w:szCs w:val="19"/>
              </w:rPr>
              <w:t xml:space="preserve">WebSocket</w:t>
            </w:r>
          </w:p>
        </w:tc>
        <w:tc>
          <w:tcPr>
            <w:tcW w:type="dxa" w:w="12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19"/>
                <w:szCs w:val="19"/>
              </w:rPr>
              <w:t xml:space="preserve">Cost/mo</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Basic (Free)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8</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800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Trial symbols only</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8 trial symbols</w:t>
            </w:r>
          </w:p>
        </w:tc>
        <w:tc>
          <w:tcPr>
            <w:tcW w:type="dxa" w:w="1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$0</w:t>
            </w:r>
          </w:p>
        </w:tc>
      </w:tr>
      <w:tr>
        <w:tc>
          <w:tcPr>
            <w:tcW w:type="dxa" w:w="14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Grow</w:t>
            </w:r>
          </w:p>
        </w:tc>
        <w:tc>
          <w:tcPr>
            <w:tcW w:type="dxa" w:w="1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55</w:t>
            </w:r>
          </w:p>
        </w:tc>
        <w:tc>
          <w:tcPr>
            <w:tcW w:type="dxa" w:w="11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5,500</w:t>
            </w:r>
          </w:p>
        </w:tc>
        <w:tc>
          <w:tcPr>
            <w:tcW w:type="dxa" w:w="18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 DFM, ADX, Tadawul</w:t>
            </w:r>
          </w:p>
        </w:tc>
        <w:tc>
          <w:tcPr>
            <w:tcW w:type="dxa" w:w="16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No</w:t>
            </w:r>
          </w:p>
        </w:tc>
        <w:tc>
          <w:tcPr>
            <w:tcW w:type="dxa" w:w="12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$29</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Pro</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610</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Unlimited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 All 95+ exchanges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 500 symbols</w:t>
            </w:r>
          </w:p>
        </w:tc>
        <w:tc>
          <w:tcPr>
            <w:tcW w:type="dxa" w:w="1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$99</w:t>
            </w:r>
          </w:p>
        </w:tc>
      </w:tr>
    </w:tbl>
    <w:p>
      <w:pPr>
        <w:spacing w:after="80" w:before="80"/>
      </w:pPr>
    </w:p>
    <w:p>
      <w:pPr>
        <w:spacing w:after="160" w:before="0" w:line="276"/>
      </w:pPr>
      <w:r>
        <w:rPr>
          <w:rFonts w:ascii="Arial" w:cs="Arial" w:eastAsia="Arial" w:hAnsi="Arial"/>
          <w:b/>
          <w:bCs/>
          <w:sz w:val="22"/>
          <w:szCs w:val="22"/>
        </w:rPr>
        <w:t xml:space="preserve">Recommendation: </w:t>
      </w:r>
      <w:r>
        <w:rPr>
          <w:rFonts w:ascii="Arial" w:cs="Arial" w:eastAsia="Arial" w:hAnsi="Arial"/>
          <w:sz w:val="22"/>
          <w:szCs w:val="22"/>
        </w:rPr>
        <w:t xml:space="preserve">Start with the Grow plan ($29/month) for the demo. This provides 55 credits/minute (matching Finnhub’s rate), access to all three GCC exchanges, and 5,500 daily credits. Upgrade to Pro ($99/month) only if WebSocket real-time streaming becomes a requirement.</w:t>
      </w:r>
    </w:p>
    <w:p>
      <w:pPr>
        <w:spacing w:after="160" w:before="0" w:line="276"/>
      </w:pPr>
      <w:r>
        <w:rPr>
          <w:rFonts w:ascii="Arial" w:cs="Arial" w:eastAsia="Arial" w:hAnsi="Arial"/>
          <w:b/>
          <w:bCs/>
          <w:sz w:val="22"/>
          <w:szCs w:val="22"/>
        </w:rPr>
        <w:t xml:space="preserve">Important: </w:t>
      </w:r>
      <w:r>
        <w:rPr>
          <w:rFonts w:ascii="Arial" w:cs="Arial" w:eastAsia="Arial" w:hAnsi="Arial"/>
          <w:sz w:val="22"/>
          <w:szCs w:val="22"/>
        </w:rPr>
        <w:t xml:space="preserve">The Basic (free) plan only provides trial symbols for international exchanges — not full coverage. GCC tickers will not work on the free plan. The Grow plan is the minimum for this integration.</w:t>
      </w:r>
    </w:p>
    <w:p>
      <w:pPr>
        <w:pStyle w:val="Heading2"/>
        <w:spacing w:after="180" w:before="280"/>
      </w:pPr>
      <w:r>
        <w:rPr>
          <w:rFonts w:ascii="Arial" w:cs="Arial" w:eastAsia="Arial" w:hAnsi="Arial"/>
        </w:rPr>
        <w:t xml:space="preserve">5.2 Rate Limit Configuration</w:t>
      </w:r>
    </w:p>
    <w:p>
      <w:pPr>
        <w:spacing w:after="160" w:before="0" w:line="276"/>
      </w:pPr>
      <w:r>
        <w:rPr>
          <w:rFonts w:ascii="Arial" w:cs="Arial" w:eastAsia="Arial" w:hAnsi="Arial"/>
          <w:sz w:val="22"/>
          <w:szCs w:val="22"/>
        </w:rPr>
        <w:t xml:space="preserve">The adapter reads its rate limit from an env var, defaulting to the Grow plan’s 55/min:</w:t>
      </w:r>
    </w:p>
    <w:p>
      <w:pPr>
        <w:pBdr>
          <w:left w:val="single" w:color="1B4F72" w:sz="6" w:space="4"/>
        </w:pBdr>
        <w:shd w:fill="F8F9FA" w:val="clear"/>
        <w:spacing w:after="40" w:before="40"/>
        <w:ind w:left="360"/>
      </w:pPr>
      <w:r>
        <w:rPr>
          <w:rFonts w:ascii="Courier New" w:cs="Courier New" w:eastAsia="Courier New" w:hAnsi="Courier New"/>
          <w:color w:val="2C3E50"/>
          <w:sz w:val="17"/>
          <w:szCs w:val="17"/>
        </w:rPr>
        <w:t xml:space="preserve">const RATE_LIMIT = parseInt(process.env.TWELVE_DATA_RATE_LIMIT || '55', 10);</w:t>
      </w:r>
    </w:p>
    <w:p>
      <w:pPr>
        <w:spacing w:after="160" w:before="0" w:line="276"/>
      </w:pPr>
      <w:r>
        <w:rPr>
          <w:rFonts w:ascii="Arial" w:cs="Arial" w:eastAsia="Arial" w:hAnsi="Arial"/>
          <w:sz w:val="22"/>
          <w:szCs w:val="22"/>
        </w:rPr>
        <w:t xml:space="preserve">Batch requests are the primary lever for staying within limits. A single /quote call with 15 comma-separated symbols uses 1 rate-limit slot (but 15 API credits). The adapter always batches when getQuotes receives multiple symbols.</w:t>
      </w:r>
    </w:p>
    <w:p>
      <w:pPr>
        <w:pStyle w:val="Heading2"/>
        <w:spacing w:after="180" w:before="280"/>
      </w:pPr>
      <w:r>
        <w:rPr>
          <w:rFonts w:ascii="Arial" w:cs="Arial" w:eastAsia="Arial" w:hAnsi="Arial"/>
        </w:rPr>
        <w:t xml:space="preserve">5.3 Cache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1000"/>
        <w:gridCol w:w="2760"/>
      </w:tblGrid>
      <w:tr>
        <w:trPr>
          <w:tblHeader/>
        </w:trPr>
        <w:tc>
          <w:tcPr>
            <w:tcW w:type="dxa" w:w="2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19"/>
                <w:szCs w:val="19"/>
              </w:rPr>
              <w:t xml:space="preserve">Data Type</w:t>
            </w:r>
          </w:p>
        </w:tc>
        <w:tc>
          <w:tcPr>
            <w:tcW w:type="dxa" w:w="2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19"/>
                <w:szCs w:val="19"/>
              </w:rPr>
              <w:t xml:space="preserve">Cache Key Pattern</w:t>
            </w:r>
          </w:p>
        </w:tc>
        <w:tc>
          <w:tcPr>
            <w:tcW w:type="dxa" w:w="1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19"/>
                <w:szCs w:val="19"/>
              </w:rPr>
              <w:t xml:space="preserve">TTL</w:t>
            </w:r>
          </w:p>
        </w:tc>
        <w:tc>
          <w:tcPr>
            <w:tcW w:type="dxa" w:w="27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19"/>
                <w:szCs w:val="19"/>
              </w:rPr>
              <w:t xml:space="preserve">Rationale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Quote (delayed — Grow plan)</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twelve_data:quote:EMAAR:DFM</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120s</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15-min delay means 2-min cache is appropriate</w:t>
            </w:r>
          </w:p>
        </w:tc>
      </w:tr>
      <w:tr>
        <w:tc>
          <w:tcPr>
            <w:tcW w:type="dxa" w:w="28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Quote (real-time — Pro plan)</w:t>
            </w:r>
          </w:p>
        </w:tc>
        <w:tc>
          <w:tcPr>
            <w:tcW w:type="dxa" w:w="28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twelve_data:quote:EMAAR:DFM</w:t>
            </w:r>
          </w:p>
        </w:tc>
        <w:tc>
          <w:tcPr>
            <w:tcW w:type="dxa" w:w="1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30s</w:t>
            </w:r>
          </w:p>
        </w:tc>
        <w:tc>
          <w:tcPr>
            <w:tcW w:type="dxa" w:w="27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Future: reduce TTL when on real-time plan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Historical prices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twelve_data:history:EMAAR:DFM:30</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3,600s</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EOD data doesn’t change intraday</w:t>
            </w:r>
          </w:p>
        </w:tc>
      </w:tr>
      <w:tr>
        <w:tc>
          <w:tcPr>
            <w:tcW w:type="dxa" w:w="28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Company profile</w:t>
            </w:r>
          </w:p>
        </w:tc>
        <w:tc>
          <w:tcPr>
            <w:tcW w:type="dxa" w:w="28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twelve_data:profile:EMAAR:DFM</w:t>
            </w:r>
          </w:p>
        </w:tc>
        <w:tc>
          <w:tcPr>
            <w:tcW w:type="dxa" w:w="1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86,400s</w:t>
            </w:r>
          </w:p>
        </w:tc>
        <w:tc>
          <w:tcPr>
            <w:tcW w:type="dxa" w:w="27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Profiles change infrequently</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Earnings calendar</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twelve_data:earnings_calendar</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86,400s</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Updated daily</w:t>
            </w:r>
          </w:p>
        </w:tc>
      </w:tr>
      <w:tr>
        <w:tc>
          <w:tcPr>
            <w:tcW w:type="dxa" w:w="28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Symbol normalization</w:t>
            </w:r>
          </w:p>
        </w:tc>
        <w:tc>
          <w:tcPr>
            <w:tcW w:type="dxa" w:w="28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sym_norm:EMAAR</w:t>
            </w:r>
          </w:p>
        </w:tc>
        <w:tc>
          <w:tcPr>
            <w:tcW w:type="dxa" w:w="1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3,600s</w:t>
            </w:r>
          </w:p>
        </w:tc>
        <w:tc>
          <w:tcPr>
            <w:tcW w:type="dxa" w:w="27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Exchange assignments don’t change intraday</w:t>
            </w:r>
          </w:p>
        </w:tc>
      </w:tr>
    </w:tbl>
    <w:p>
      <w:pPr>
        <w:spacing w:after="80" w:before="80"/>
      </w:pPr>
    </w:p>
    <w:p>
      <w:pPr>
        <w:spacing w:after="160" w:before="0" w:line="276"/>
      </w:pPr>
      <w:r>
        <w:rPr>
          <w:rFonts w:ascii="Arial" w:cs="Arial" w:eastAsia="Arial" w:hAnsi="Arial"/>
          <w:sz w:val="22"/>
          <w:szCs w:val="22"/>
        </w:rPr>
        <w:t xml:space="preserve">The existing cache module (cache.ts) and its TTL constants are reused. The is_delayed flag on MarketQuote is set based on TWELVE_DATA_IS_REALTIME env var (default: false), ensuring the LLM correctly narrates “delayed” vs “current.”</w:t>
      </w:r>
    </w:p>
    <w:p>
      <w:pPr>
        <w:pStyle w:val="Heading2"/>
        <w:spacing w:after="180" w:before="280"/>
      </w:pPr>
      <w:r>
        <w:rPr>
          <w:rFonts w:ascii="Arial" w:cs="Arial" w:eastAsia="Arial" w:hAnsi="Arial"/>
        </w:rPr>
        <w:t xml:space="preserve">5.4 Cost Projections (Grow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1400"/>
        <w:gridCol w:w="3360"/>
      </w:tblGrid>
      <w:tr>
        <w:trPr>
          <w:tblHeader/>
        </w:trPr>
        <w:tc>
          <w:tcPr>
            <w:tcW w:type="dxa" w:w="3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19"/>
                <w:szCs w:val="19"/>
              </w:rPr>
              <w:t xml:space="preserve">Scenario</w:t>
            </w:r>
          </w:p>
        </w:tc>
        <w:tc>
          <w:tcPr>
            <w:tcW w:type="dxa" w:w="14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19"/>
                <w:szCs w:val="19"/>
              </w:rPr>
              <w:t xml:space="preserve">Calls/Day</w:t>
            </w:r>
          </w:p>
        </w:tc>
        <w:tc>
          <w:tcPr>
            <w:tcW w:type="dxa" w:w="14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19"/>
                <w:szCs w:val="19"/>
              </w:rPr>
              <w:t xml:space="preserve">Credits/Day</w:t>
            </w:r>
          </w:p>
        </w:tc>
        <w:tc>
          <w:tcPr>
            <w:tcW w:type="dxa" w:w="33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19"/>
                <w:szCs w:val="19"/>
              </w:rPr>
              <w:t xml:space="preserve">Within 5,500 Limit?</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Light demo (2–3 users, occasional queries)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50–100</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~200</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 Yes (4% of limit)</w:t>
            </w:r>
          </w:p>
        </w:tc>
      </w:tr>
      <w:tr>
        <w:tc>
          <w:tcPr>
            <w:tcW w:type="dxa" w:w="3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Active demo day (10+ concurrent users)</w:t>
            </w:r>
          </w:p>
        </w:tc>
        <w:tc>
          <w:tcPr>
            <w:tcW w:type="dxa" w:w="14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200–400</w:t>
            </w:r>
          </w:p>
        </w:tc>
        <w:tc>
          <w:tcPr>
            <w:tcW w:type="dxa" w:w="14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~800</w:t>
            </w:r>
          </w:p>
        </w:tc>
        <w:tc>
          <w:tcPr>
            <w:tcW w:type="dxa" w:w="33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 Yes (15% of limit)</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Discover pipeline (5 GCC, 10-min refresh)</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72</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360</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 Yes</w:t>
            </w:r>
          </w:p>
        </w:tc>
      </w:tr>
      <w:tr>
        <w:tc>
          <w:tcPr>
            <w:tcW w:type="dxa" w:w="3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Morning Sentinel (daily, 15 instruments)</w:t>
            </w:r>
          </w:p>
        </w:tc>
        <w:tc>
          <w:tcPr>
            <w:tcW w:type="dxa" w:w="14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1</w:t>
            </w:r>
          </w:p>
        </w:tc>
        <w:tc>
          <w:tcPr>
            <w:tcW w:type="dxa" w:w="14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15</w:t>
            </w:r>
          </w:p>
        </w:tc>
        <w:tc>
          <w:tcPr>
            <w:tcW w:type="dxa" w:w="33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 Yes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Portfolio refresh (holdings × 4/hour)</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48</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~300</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 Yes</w:t>
            </w:r>
          </w:p>
        </w:tc>
      </w:tr>
      <w:tr>
        <w:tc>
          <w:tcPr>
            <w:tcW w:type="dxa" w:w="3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Worst case combined</w:t>
            </w:r>
          </w:p>
        </w:tc>
        <w:tc>
          <w:tcPr>
            <w:tcW w:type="dxa" w:w="14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 500</w:t>
            </w:r>
          </w:p>
        </w:tc>
        <w:tc>
          <w:tcPr>
            <w:tcW w:type="dxa" w:w="14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~1,700</w:t>
            </w:r>
          </w:p>
        </w:tc>
        <w:tc>
          <w:tcPr>
            <w:tcW w:type="dxa" w:w="33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 Yes (31% of limit)</w:t>
            </w:r>
          </w:p>
        </w:tc>
      </w:tr>
    </w:tbl>
    <w:p>
      <w:r>
        <w:br w:type="page"/>
      </w:r>
    </w:p>
    <w:p>
      <w:pPr>
        <w:pStyle w:val="Heading1"/>
        <w:spacing w:after="200" w:before="380"/>
      </w:pPr>
      <w:r>
        <w:rPr>
          <w:rFonts w:ascii="Arial" w:cs="Arial" w:eastAsia="Arial" w:hAnsi="Arial"/>
        </w:rPr>
        <w:t xml:space="preserve">6. AI Orchestration Updates</w:t>
      </w:r>
    </w:p>
    <w:p>
      <w:pPr>
        <w:pStyle w:val="Heading2"/>
        <w:spacing w:after="180" w:before="280"/>
      </w:pPr>
      <w:r>
        <w:rPr>
          <w:rFonts w:ascii="Arial" w:cs="Arial" w:eastAsia="Arial" w:hAnsi="Arial"/>
        </w:rPr>
        <w:t xml:space="preserve">6.1 Tool Description Changes</w:t>
      </w:r>
    </w:p>
    <w:p>
      <w:pPr>
        <w:spacing w:after="160" w:before="0" w:line="276"/>
      </w:pPr>
      <w:r>
        <w:rPr>
          <w:rFonts w:ascii="Arial" w:cs="Arial" w:eastAsia="Arial" w:hAnsi="Arial"/>
          <w:sz w:val="22"/>
          <w:szCs w:val="22"/>
        </w:rPr>
        <w:t xml:space="preserve">Resolves F-08 and B-03. The LLM’s willingness to call getQuotes for GCC tickers depends entirely on whether the tool description signals that GCC instruments are valid targets.</w:t>
      </w:r>
    </w:p>
    <w:p>
      <w:pPr>
        <w:pStyle w:val="Heading3"/>
        <w:spacing w:after="120" w:before="220"/>
      </w:pPr>
      <w:r>
        <w:rPr>
          <w:rFonts w:ascii="Arial" w:cs="Arial" w:eastAsia="Arial" w:hAnsi="Arial"/>
        </w:rPr>
        <w:t xml:space="preserve">6.1.1 getQuotes — Before</w:t>
      </w:r>
    </w:p>
    <w:p>
      <w:pPr>
        <w:pBdr>
          <w:left w:val="single" w:color="1B4F72" w:sz="6" w:space="4"/>
        </w:pBdr>
        <w:shd w:fill="F8F9FA" w:val="clear"/>
        <w:spacing w:after="40" w:before="40"/>
        <w:ind w:left="360"/>
      </w:pPr>
      <w:r>
        <w:rPr>
          <w:rFonts w:ascii="Courier New" w:cs="Courier New" w:eastAsia="Courier New" w:hAnsi="Courier New"/>
          <w:color w:val="2C3E50"/>
          <w:sz w:val="17"/>
          <w:szCs w:val="17"/>
        </w:rPr>
        <w:t xml:space="preserve">description: 'Get real-time market quotes for given symbols: last price,</w:t>
      </w:r>
    </w:p>
    <w:p>
      <w:pPr>
        <w:pBdr>
          <w:left w:val="single" w:color="1B4F72" w:sz="6" w:space="4"/>
        </w:pBdr>
        <w:shd w:fill="F8F9FA" w:val="clear"/>
        <w:spacing w:after="40" w:before="40"/>
        <w:ind w:left="360"/>
      </w:pPr>
      <w:r>
        <w:rPr>
          <w:rFonts w:ascii="Courier New" w:cs="Courier New" w:eastAsia="Courier New" w:hAnsi="Courier New"/>
          <w:color w:val="2C3E50"/>
          <w:sz w:val="17"/>
          <w:szCs w:val="17"/>
        </w:rPr>
        <w:t xml:space="preserve">  daily change %, volume, high/low. Call this when the user asks about</w:t>
      </w:r>
    </w:p>
    <w:p>
      <w:pPr>
        <w:pBdr>
          <w:left w:val="single" w:color="1B4F72" w:sz="6" w:space="4"/>
        </w:pBdr>
        <w:shd w:fill="F8F9FA" w:val="clear"/>
        <w:spacing w:after="40" w:before="40"/>
        <w:ind w:left="360"/>
      </w:pPr>
      <w:r>
        <w:rPr>
          <w:rFonts w:ascii="Courier New" w:cs="Courier New" w:eastAsia="Courier New" w:hAnsi="Courier New"/>
          <w:color w:val="2C3E50"/>
          <w:sz w:val="17"/>
          <w:szCs w:val="17"/>
        </w:rPr>
        <w:t xml:space="preserve">  stock prices or market data.'</w:t>
      </w:r>
    </w:p>
    <w:p>
      <w:pPr>
        <w:pBdr>
          <w:left w:val="single" w:color="1B4F72" w:sz="6" w:space="4"/>
        </w:pBdr>
        <w:shd w:fill="F8F9FA" w:val="clear"/>
        <w:spacing w:after="40" w:before="40"/>
        <w:ind w:left="360"/>
      </w:pPr>
      <w:r>
        <w:rPr>
          <w:rFonts w:ascii="Courier New" w:cs="Courier New" w:eastAsia="Courier New" w:hAnsi="Courier New"/>
          <w:color w:val="2C3E50"/>
          <w:sz w:val="17"/>
          <w:szCs w:val="17"/>
        </w:rPr>
        <w:t xml:space="preserve"/>
      </w:r>
    </w:p>
    <w:p>
      <w:pPr>
        <w:pBdr>
          <w:left w:val="single" w:color="1B4F72" w:sz="6" w:space="4"/>
        </w:pBdr>
        <w:shd w:fill="F8F9FA" w:val="clear"/>
        <w:spacing w:after="40" w:before="40"/>
        <w:ind w:left="360"/>
      </w:pPr>
      <w:r>
        <w:rPr>
          <w:rFonts w:ascii="Courier New" w:cs="Courier New" w:eastAsia="Courier New" w:hAnsi="Courier New"/>
          <w:color w:val="2C3E50"/>
          <w:sz w:val="17"/>
          <w:szCs w:val="17"/>
        </w:rPr>
        <w:t xml:space="preserve">symbols.description: 'Array of ticker symbols to get quotes for</w:t>
      </w:r>
    </w:p>
    <w:p>
      <w:pPr>
        <w:pBdr>
          <w:left w:val="single" w:color="1B4F72" w:sz="6" w:space="4"/>
        </w:pBdr>
        <w:shd w:fill="F8F9FA" w:val="clear"/>
        <w:spacing w:after="40" w:before="40"/>
        <w:ind w:left="360"/>
      </w:pPr>
      <w:r>
        <w:rPr>
          <w:rFonts w:ascii="Courier New" w:cs="Courier New" w:eastAsia="Courier New" w:hAnsi="Courier New"/>
          <w:color w:val="2C3E50"/>
          <w:sz w:val="17"/>
          <w:szCs w:val="17"/>
        </w:rPr>
        <w:t xml:space="preserve">  (e.g., ["AAPL", "NVDA", "BTC"])'</w:t>
      </w:r>
    </w:p>
    <w:p>
      <w:pPr>
        <w:pStyle w:val="Heading3"/>
        <w:spacing w:after="120" w:before="220"/>
      </w:pPr>
      <w:r>
        <w:rPr>
          <w:rFonts w:ascii="Arial" w:cs="Arial" w:eastAsia="Arial" w:hAnsi="Arial"/>
        </w:rPr>
        <w:t xml:space="preserve">6.1.2 getQuotes — After</w:t>
      </w:r>
    </w:p>
    <w:p>
      <w:pPr>
        <w:pBdr>
          <w:left w:val="single" w:color="1B4F72" w:sz="6" w:space="4"/>
        </w:pBdr>
        <w:shd w:fill="F8F9FA" w:val="clear"/>
        <w:spacing w:after="40" w:before="40"/>
        <w:ind w:left="360"/>
      </w:pPr>
      <w:r>
        <w:rPr>
          <w:rFonts w:ascii="Courier New" w:cs="Courier New" w:eastAsia="Courier New" w:hAnsi="Courier New"/>
          <w:color w:val="2C3E50"/>
          <w:sz w:val="17"/>
          <w:szCs w:val="17"/>
        </w:rPr>
        <w:t xml:space="preserve">description: 'Get live or delayed market quotes for given symbols: last</w:t>
      </w:r>
    </w:p>
    <w:p>
      <w:pPr>
        <w:pBdr>
          <w:left w:val="single" w:color="1B4F72" w:sz="6" w:space="4"/>
        </w:pBdr>
        <w:shd w:fill="F8F9FA" w:val="clear"/>
        <w:spacing w:after="40" w:before="40"/>
        <w:ind w:left="360"/>
      </w:pPr>
      <w:r>
        <w:rPr>
          <w:rFonts w:ascii="Courier New" w:cs="Courier New" w:eastAsia="Courier New" w:hAnsi="Courier New"/>
          <w:color w:val="2C3E50"/>
          <w:sz w:val="17"/>
          <w:szCs w:val="17"/>
        </w:rPr>
        <w:t xml:space="preserve">  price, daily change %, volume, high/low. Covers US equities, GCC markets</w:t>
      </w:r>
    </w:p>
    <w:p>
      <w:pPr>
        <w:pBdr>
          <w:left w:val="single" w:color="1B4F72" w:sz="6" w:space="4"/>
        </w:pBdr>
        <w:shd w:fill="F8F9FA" w:val="clear"/>
        <w:spacing w:after="40" w:before="40"/>
        <w:ind w:left="360"/>
      </w:pPr>
      <w:r>
        <w:rPr>
          <w:rFonts w:ascii="Courier New" w:cs="Courier New" w:eastAsia="Courier New" w:hAnsi="Courier New"/>
          <w:color w:val="2C3E50"/>
          <w:sz w:val="17"/>
          <w:szCs w:val="17"/>
        </w:rPr>
        <w:t xml:space="preserve">  (DFM, ADX, Tadawul), and 50+ global exchanges. Call this when the user</w:t>
      </w:r>
    </w:p>
    <w:p>
      <w:pPr>
        <w:pBdr>
          <w:left w:val="single" w:color="1B4F72" w:sz="6" w:space="4"/>
        </w:pBdr>
        <w:shd w:fill="F8F9FA" w:val="clear"/>
        <w:spacing w:after="40" w:before="40"/>
        <w:ind w:left="360"/>
      </w:pPr>
      <w:r>
        <w:rPr>
          <w:rFonts w:ascii="Courier New" w:cs="Courier New" w:eastAsia="Courier New" w:hAnsi="Courier New"/>
          <w:color w:val="2C3E50"/>
          <w:sz w:val="17"/>
          <w:szCs w:val="17"/>
        </w:rPr>
        <w:t xml:space="preserve">  asks about stock prices, market data, or any publicly listed company</w:t>
      </w:r>
    </w:p>
    <w:p>
      <w:pPr>
        <w:pBdr>
          <w:left w:val="single" w:color="1B4F72" w:sz="6" w:space="4"/>
        </w:pBdr>
        <w:shd w:fill="F8F9FA" w:val="clear"/>
        <w:spacing w:after="40" w:before="40"/>
        <w:ind w:left="360"/>
      </w:pPr>
      <w:r>
        <w:rPr>
          <w:rFonts w:ascii="Courier New" w:cs="Courier New" w:eastAsia="Courier New" w:hAnsi="Courier New"/>
          <w:color w:val="2C3E50"/>
          <w:sz w:val="17"/>
          <w:szCs w:val="17"/>
        </w:rPr>
        <w:t xml:space="preserve">  including UAE and Saudi shares.'</w:t>
      </w:r>
    </w:p>
    <w:p>
      <w:pPr>
        <w:pBdr>
          <w:left w:val="single" w:color="1B4F72" w:sz="6" w:space="4"/>
        </w:pBdr>
        <w:shd w:fill="F8F9FA" w:val="clear"/>
        <w:spacing w:after="40" w:before="40"/>
        <w:ind w:left="360"/>
      </w:pPr>
      <w:r>
        <w:rPr>
          <w:rFonts w:ascii="Courier New" w:cs="Courier New" w:eastAsia="Courier New" w:hAnsi="Courier New"/>
          <w:color w:val="2C3E50"/>
          <w:sz w:val="17"/>
          <w:szCs w:val="17"/>
        </w:rPr>
        <w:t xml:space="preserve"/>
      </w:r>
    </w:p>
    <w:p>
      <w:pPr>
        <w:pBdr>
          <w:left w:val="single" w:color="1B4F72" w:sz="6" w:space="4"/>
        </w:pBdr>
        <w:shd w:fill="F8F9FA" w:val="clear"/>
        <w:spacing w:after="40" w:before="40"/>
        <w:ind w:left="360"/>
      </w:pPr>
      <w:r>
        <w:rPr>
          <w:rFonts w:ascii="Courier New" w:cs="Courier New" w:eastAsia="Courier New" w:hAnsi="Courier New"/>
          <w:color w:val="2C3E50"/>
          <w:sz w:val="17"/>
          <w:szCs w:val="17"/>
        </w:rPr>
        <w:t xml:space="preserve">symbols.description: 'Array of ticker symbols to get quotes for</w:t>
      </w:r>
    </w:p>
    <w:p>
      <w:pPr>
        <w:pBdr>
          <w:left w:val="single" w:color="1B4F72" w:sz="6" w:space="4"/>
        </w:pBdr>
        <w:shd w:fill="F8F9FA" w:val="clear"/>
        <w:spacing w:after="40" w:before="40"/>
        <w:ind w:left="360"/>
      </w:pPr>
      <w:r>
        <w:rPr>
          <w:rFonts w:ascii="Courier New" w:cs="Courier New" w:eastAsia="Courier New" w:hAnsi="Courier New"/>
          <w:color w:val="2C3E50"/>
          <w:sz w:val="17"/>
          <w:szCs w:val="17"/>
        </w:rPr>
        <w:t xml:space="preserve">  (e.g., ["AAPL", "EMAAR", "FAB", "ARAMCO", "STC"]). Use bare</w:t>
      </w:r>
    </w:p>
    <w:p>
      <w:pPr>
        <w:pBdr>
          <w:left w:val="single" w:color="1B4F72" w:sz="6" w:space="4"/>
        </w:pBdr>
        <w:shd w:fill="F8F9FA" w:val="clear"/>
        <w:spacing w:after="40" w:before="40"/>
        <w:ind w:left="360"/>
      </w:pPr>
      <w:r>
        <w:rPr>
          <w:rFonts w:ascii="Courier New" w:cs="Courier New" w:eastAsia="Courier New" w:hAnsi="Courier New"/>
          <w:color w:val="2C3E50"/>
          <w:sz w:val="17"/>
          <w:szCs w:val="17"/>
        </w:rPr>
        <w:t xml:space="preserve">  ticker names — exchange resolution is handled automatically.'</w:t>
      </w:r>
    </w:p>
    <w:p>
      <w:pPr>
        <w:pStyle w:val="Heading3"/>
        <w:spacing w:after="120" w:before="220"/>
      </w:pPr>
      <w:r>
        <w:rPr>
          <w:rFonts w:ascii="Arial" w:cs="Arial" w:eastAsia="Arial" w:hAnsi="Arial"/>
        </w:rPr>
        <w:t xml:space="preserve">6.1.3 getHistoricalPrices — After</w:t>
      </w:r>
    </w:p>
    <w:p>
      <w:pPr>
        <w:pBdr>
          <w:left w:val="single" w:color="1B4F72" w:sz="6" w:space="4"/>
        </w:pBdr>
        <w:shd w:fill="F8F9FA" w:val="clear"/>
        <w:spacing w:after="40" w:before="40"/>
        <w:ind w:left="360"/>
      </w:pPr>
      <w:r>
        <w:rPr>
          <w:rFonts w:ascii="Courier New" w:cs="Courier New" w:eastAsia="Courier New" w:hAnsi="Courier New"/>
          <w:color w:val="2C3E50"/>
          <w:sz w:val="17"/>
          <w:szCs w:val="17"/>
        </w:rPr>
        <w:t xml:space="preserve">symbol.description: 'The ticker symbol (e.g., "AAPL", "EMAAR",</w:t>
      </w:r>
    </w:p>
    <w:p>
      <w:pPr>
        <w:pBdr>
          <w:left w:val="single" w:color="1B4F72" w:sz="6" w:space="4"/>
        </w:pBdr>
        <w:shd w:fill="F8F9FA" w:val="clear"/>
        <w:spacing w:after="40" w:before="40"/>
        <w:ind w:left="360"/>
      </w:pPr>
      <w:r>
        <w:rPr>
          <w:rFonts w:ascii="Courier New" w:cs="Courier New" w:eastAsia="Courier New" w:hAnsi="Courier New"/>
          <w:color w:val="2C3E50"/>
          <w:sz w:val="17"/>
          <w:szCs w:val="17"/>
        </w:rPr>
        <w:t xml:space="preserve">  "ARAMCO"). GCC and international tickers are supported.'</w:t>
      </w:r>
    </w:p>
    <w:p>
      <w:pPr>
        <w:pStyle w:val="Heading3"/>
        <w:spacing w:after="120" w:before="220"/>
      </w:pPr>
      <w:r>
        <w:rPr>
          <w:rFonts w:ascii="Arial" w:cs="Arial" w:eastAsia="Arial" w:hAnsi="Arial"/>
        </w:rPr>
        <w:t xml:space="preserve">6.1.4 getCompanyProfile — After</w:t>
      </w:r>
    </w:p>
    <w:p>
      <w:pPr>
        <w:pBdr>
          <w:left w:val="single" w:color="1B4F72" w:sz="6" w:space="4"/>
        </w:pBdr>
        <w:shd w:fill="F8F9FA" w:val="clear"/>
        <w:spacing w:after="40" w:before="40"/>
        <w:ind w:left="360"/>
      </w:pPr>
      <w:r>
        <w:rPr>
          <w:rFonts w:ascii="Courier New" w:cs="Courier New" w:eastAsia="Courier New" w:hAnsi="Courier New"/>
          <w:color w:val="2C3E50"/>
          <w:sz w:val="17"/>
          <w:szCs w:val="17"/>
        </w:rPr>
        <w:t xml:space="preserve">symbol.description: 'The ticker symbol (e.g., "AAPL", "EMAAR",</w:t>
      </w:r>
    </w:p>
    <w:p>
      <w:pPr>
        <w:pBdr>
          <w:left w:val="single" w:color="1B4F72" w:sz="6" w:space="4"/>
        </w:pBdr>
        <w:shd w:fill="F8F9FA" w:val="clear"/>
        <w:spacing w:after="40" w:before="40"/>
        <w:ind w:left="360"/>
      </w:pPr>
      <w:r>
        <w:rPr>
          <w:rFonts w:ascii="Courier New" w:cs="Courier New" w:eastAsia="Courier New" w:hAnsi="Courier New"/>
          <w:color w:val="2C3E50"/>
          <w:sz w:val="17"/>
          <w:szCs w:val="17"/>
        </w:rPr>
        <w:t xml:space="preserve">  "FAB"). Supports US, GCC, and international companies.'</w:t>
      </w:r>
    </w:p>
    <w:p>
      <w:pPr>
        <w:pStyle w:val="Heading2"/>
        <w:spacing w:after="180" w:before="280"/>
      </w:pPr>
      <w:r>
        <w:rPr>
          <w:rFonts w:ascii="Arial" w:cs="Arial" w:eastAsia="Arial" w:hAnsi="Arial"/>
        </w:rPr>
        <w:t xml:space="preserve">6.2 System Prompt Changes</w:t>
      </w:r>
    </w:p>
    <w:p>
      <w:pPr>
        <w:spacing w:after="160" w:before="0" w:line="276"/>
      </w:pPr>
      <w:r>
        <w:rPr>
          <w:rFonts w:ascii="Arial" w:cs="Arial" w:eastAsia="Arial" w:hAnsi="Arial"/>
          <w:sz w:val="22"/>
          <w:szCs w:val="22"/>
        </w:rPr>
        <w:t xml:space="preserve">Resolves F-09. The prompt builder’s tool guide block (promptBuilder.ts, line 163) must be updated:</w:t>
      </w:r>
    </w:p>
    <w:p>
      <w:pPr>
        <w:pStyle w:val="Heading3"/>
        <w:spacing w:after="120" w:before="220"/>
      </w:pPr>
      <w:r>
        <w:rPr>
          <w:rFonts w:ascii="Arial" w:cs="Arial" w:eastAsia="Arial" w:hAnsi="Arial"/>
        </w:rPr>
        <w:t xml:space="preserve">6.2.1 Before</w:t>
      </w:r>
    </w:p>
    <w:p>
      <w:pPr>
        <w:pBdr>
          <w:left w:val="single" w:color="1B4F72" w:sz="6" w:space="4"/>
        </w:pBdr>
        <w:shd w:fill="F8F9FA" w:val="clear"/>
        <w:spacing w:after="40" w:before="40"/>
        <w:ind w:left="360"/>
      </w:pPr>
      <w:r>
        <w:rPr>
          <w:rFonts w:ascii="Courier New" w:cs="Courier New" w:eastAsia="Courier New" w:hAnsi="Courier New"/>
          <w:color w:val="2C3E50"/>
          <w:sz w:val="17"/>
          <w:szCs w:val="17"/>
        </w:rPr>
        <w:t xml:space="preserve">• getQuotes — live stock/ETF prices from Finnhub (fallback: Yahoo Finance)</w:t>
      </w:r>
    </w:p>
    <w:p>
      <w:pPr>
        <w:pBdr>
          <w:left w:val="single" w:color="1B4F72" w:sz="6" w:space="4"/>
        </w:pBdr>
        <w:shd w:fill="F8F9FA" w:val="clear"/>
        <w:spacing w:after="40" w:before="40"/>
        <w:ind w:left="360"/>
      </w:pPr>
      <w:r>
        <w:rPr>
          <w:rFonts w:ascii="Courier New" w:cs="Courier New" w:eastAsia="Courier New" w:hAnsi="Courier New"/>
          <w:color w:val="2C3E50"/>
          <w:sz w:val="17"/>
          <w:szCs w:val="17"/>
        </w:rPr>
        <w:t xml:space="preserve">• getHistoricalPrices — price history/charts for a symbol over N days</w:t>
      </w:r>
    </w:p>
    <w:p>
      <w:pPr>
        <w:pBdr>
          <w:left w:val="single" w:color="1B4F72" w:sz="6" w:space="4"/>
        </w:pBdr>
        <w:shd w:fill="F8F9FA" w:val="clear"/>
        <w:spacing w:after="40" w:before="40"/>
        <w:ind w:left="360"/>
      </w:pPr>
      <w:r>
        <w:rPr>
          <w:rFonts w:ascii="Courier New" w:cs="Courier New" w:eastAsia="Courier New" w:hAnsi="Courier New"/>
          <w:color w:val="2C3E50"/>
          <w:sz w:val="17"/>
          <w:szCs w:val="17"/>
        </w:rPr>
        <w:t xml:space="preserve">• getCompanyProfile — company info (industry, market cap, sector, exchange)</w:t>
      </w:r>
    </w:p>
    <w:p>
      <w:pPr>
        <w:pStyle w:val="Heading3"/>
        <w:spacing w:after="120" w:before="220"/>
      </w:pPr>
      <w:r>
        <w:rPr>
          <w:rFonts w:ascii="Arial" w:cs="Arial" w:eastAsia="Arial" w:hAnsi="Arial"/>
        </w:rPr>
        <w:t xml:space="preserve">6.2.2 After</w:t>
      </w:r>
    </w:p>
    <w:p>
      <w:pPr>
        <w:pBdr>
          <w:left w:val="single" w:color="1B4F72" w:sz="6" w:space="4"/>
        </w:pBdr>
        <w:shd w:fill="F8F9FA" w:val="clear"/>
        <w:spacing w:after="40" w:before="40"/>
        <w:ind w:left="360"/>
      </w:pPr>
      <w:r>
        <w:rPr>
          <w:rFonts w:ascii="Courier New" w:cs="Courier New" w:eastAsia="Courier New" w:hAnsi="Courier New"/>
          <w:color w:val="2C3E50"/>
          <w:sz w:val="17"/>
          <w:szCs w:val="17"/>
        </w:rPr>
        <w:t xml:space="preserve">• getQuotes — live or delayed stock/ETF prices from Twelve Data. Covers US</w:t>
      </w:r>
    </w:p>
    <w:p>
      <w:pPr>
        <w:pBdr>
          <w:left w:val="single" w:color="1B4F72" w:sz="6" w:space="4"/>
        </w:pBdr>
        <w:shd w:fill="F8F9FA" w:val="clear"/>
        <w:spacing w:after="40" w:before="40"/>
        <w:ind w:left="360"/>
      </w:pPr>
      <w:r>
        <w:rPr>
          <w:rFonts w:ascii="Courier New" w:cs="Courier New" w:eastAsia="Courier New" w:hAnsi="Courier New"/>
          <w:color w:val="2C3E50"/>
          <w:sz w:val="17"/>
          <w:szCs w:val="17"/>
        </w:rPr>
        <w:t xml:space="preserve">  equities, GCC markets (DFM, ADX, Tadawul), and 50+ global exchanges.</w:t>
      </w:r>
    </w:p>
    <w:p>
      <w:pPr>
        <w:pBdr>
          <w:left w:val="single" w:color="1B4F72" w:sz="6" w:space="4"/>
        </w:pBdr>
        <w:shd w:fill="F8F9FA" w:val="clear"/>
        <w:spacing w:after="40" w:before="40"/>
        <w:ind w:left="360"/>
      </w:pPr>
      <w:r>
        <w:rPr>
          <w:rFonts w:ascii="Courier New" w:cs="Courier New" w:eastAsia="Courier New" w:hAnsi="Courier New"/>
          <w:color w:val="2C3E50"/>
          <w:sz w:val="17"/>
          <w:szCs w:val="17"/>
        </w:rPr>
        <w:t xml:space="preserve">  Use bare ticker symbols (e.g., EMAAR, FAB, AAPL) — exchange resolution</w:t>
      </w:r>
    </w:p>
    <w:p>
      <w:pPr>
        <w:pBdr>
          <w:left w:val="single" w:color="1B4F72" w:sz="6" w:space="4"/>
        </w:pBdr>
        <w:shd w:fill="F8F9FA" w:val="clear"/>
        <w:spacing w:after="40" w:before="40"/>
        <w:ind w:left="360"/>
      </w:pPr>
      <w:r>
        <w:rPr>
          <w:rFonts w:ascii="Courier New" w:cs="Courier New" w:eastAsia="Courier New" w:hAnsi="Courier New"/>
          <w:color w:val="2C3E50"/>
          <w:sz w:val="17"/>
          <w:szCs w:val="17"/>
        </w:rPr>
        <w:t xml:space="preserve">  is handled automatically. Prices for GCC securities are in local</w:t>
      </w:r>
    </w:p>
    <w:p>
      <w:pPr>
        <w:pBdr>
          <w:left w:val="single" w:color="1B4F72" w:sz="6" w:space="4"/>
        </w:pBdr>
        <w:shd w:fill="F8F9FA" w:val="clear"/>
        <w:spacing w:after="40" w:before="40"/>
        <w:ind w:left="360"/>
      </w:pPr>
      <w:r>
        <w:rPr>
          <w:rFonts w:ascii="Courier New" w:cs="Courier New" w:eastAsia="Courier New" w:hAnsi="Courier New"/>
          <w:color w:val="2C3E50"/>
          <w:sz w:val="17"/>
          <w:szCs w:val="17"/>
        </w:rPr>
        <w:t xml:space="preserve">  currency (AED or SAR).</w:t>
      </w:r>
    </w:p>
    <w:p>
      <w:pPr>
        <w:pBdr>
          <w:left w:val="single" w:color="1B4F72" w:sz="6" w:space="4"/>
        </w:pBdr>
        <w:shd w:fill="F8F9FA" w:val="clear"/>
        <w:spacing w:after="40" w:before="40"/>
        <w:ind w:left="360"/>
      </w:pPr>
      <w:r>
        <w:rPr>
          <w:rFonts w:ascii="Courier New" w:cs="Courier New" w:eastAsia="Courier New" w:hAnsi="Courier New"/>
          <w:color w:val="2C3E50"/>
          <w:sz w:val="17"/>
          <w:szCs w:val="17"/>
        </w:rPr>
        <w:t xml:space="preserve">• getHistoricalPrices — price history for a symbol over N days, including</w:t>
      </w:r>
    </w:p>
    <w:p>
      <w:pPr>
        <w:pBdr>
          <w:left w:val="single" w:color="1B4F72" w:sz="6" w:space="4"/>
        </w:pBdr>
        <w:shd w:fill="F8F9FA" w:val="clear"/>
        <w:spacing w:after="40" w:before="40"/>
        <w:ind w:left="360"/>
      </w:pPr>
      <w:r>
        <w:rPr>
          <w:rFonts w:ascii="Courier New" w:cs="Courier New" w:eastAsia="Courier New" w:hAnsi="Courier New"/>
          <w:color w:val="2C3E50"/>
          <w:sz w:val="17"/>
          <w:szCs w:val="17"/>
        </w:rPr>
        <w:t xml:space="preserve">  GCC securities where provider coverage exists.</w:t>
      </w:r>
    </w:p>
    <w:p>
      <w:pPr>
        <w:pBdr>
          <w:left w:val="single" w:color="1B4F72" w:sz="6" w:space="4"/>
        </w:pBdr>
        <w:shd w:fill="F8F9FA" w:val="clear"/>
        <w:spacing w:after="40" w:before="40"/>
        <w:ind w:left="360"/>
      </w:pPr>
      <w:r>
        <w:rPr>
          <w:rFonts w:ascii="Courier New" w:cs="Courier New" w:eastAsia="Courier New" w:hAnsi="Courier New"/>
          <w:color w:val="2C3E50"/>
          <w:sz w:val="17"/>
          <w:szCs w:val="17"/>
        </w:rPr>
        <w:t xml:space="preserve">• getCompanyProfile — company info including GCC-listed companies.</w:t>
      </w:r>
    </w:p>
    <w:p>
      <w:pPr>
        <w:pBdr>
          <w:left w:val="single" w:color="1B4F72" w:sz="8" w:space="6"/>
        </w:pBdr>
        <w:shd w:fill="ECF0F1" w:val="clear"/>
        <w:spacing w:after="160" w:before="120" w:line="300"/>
        <w:ind w:left="360" w:right="360"/>
      </w:pPr>
      <w:r>
        <w:rPr>
          <w:rFonts w:ascii="Arial" w:cs="Arial" w:eastAsia="Arial" w:hAnsi="Arial"/>
          <w:i/>
          <w:iCs/>
          <w:color w:val="555555"/>
          <w:sz w:val="20"/>
          <w:szCs w:val="20"/>
        </w:rPr>
        <w:t xml:space="preserve">The instruction to use bare tickers is deliberate. The LLM should NOT attempt exchange-qualified symbols itself (e.g., EMAAR:DFM). The normalization layer inside the provider handles that transparently. If the LLM sends EMAAR:DFM, the normalizer must handle it gracefully (strip the suffix, re-resolve).</w:t>
      </w:r>
    </w:p>
    <w:p>
      <w:pPr>
        <w:pStyle w:val="Heading2"/>
        <w:spacing w:after="180" w:before="280"/>
      </w:pPr>
      <w:r>
        <w:rPr>
          <w:rFonts w:ascii="Arial" w:cs="Arial" w:eastAsia="Arial" w:hAnsi="Arial"/>
        </w:rPr>
        <w:t xml:space="preserve">6.3 Intent Classifier — No Changes Needed</w:t>
      </w:r>
    </w:p>
    <w:p>
      <w:pPr>
        <w:spacing w:after="160" w:before="0" w:line="276"/>
      </w:pPr>
      <w:r>
        <w:rPr>
          <w:rFonts w:ascii="Arial" w:cs="Arial" w:eastAsia="Arial" w:hAnsi="Arial"/>
          <w:sz w:val="22"/>
          <w:szCs w:val="22"/>
        </w:rPr>
        <w:t xml:space="preserve">The intent classifier already handles GCC queries correctly. Its classifier prompt says “wealth management AI copilot serving GCC HNW investors,” and the fallback keyword rules map “stock price” and “share price” to market_context. A query like “What’s the current price of Emaar?” classifies as market_context → routes to Lane 1 (ada-fast) → presents the getQuotes tool. The same path it takes today, but now the tool actually resolves.</w:t>
      </w:r>
    </w:p>
    <w:p>
      <w:pPr>
        <w:pStyle w:val="Heading2"/>
        <w:spacing w:after="180" w:before="280"/>
      </w:pPr>
      <w:r>
        <w:rPr>
          <w:rFonts w:ascii="Arial" w:cs="Arial" w:eastAsia="Arial" w:hAnsi="Arial"/>
        </w:rPr>
        <w:t xml:space="preserve">6.4 Post-Integration Query Trace</w:t>
      </w:r>
    </w:p>
    <w:p>
      <w:pPr>
        <w:spacing w:after="160" w:before="0" w:line="276"/>
      </w:pPr>
      <w:r>
        <w:rPr>
          <w:rFonts w:ascii="Arial" w:cs="Arial" w:eastAsia="Arial" w:hAnsi="Arial"/>
          <w:sz w:val="22"/>
          <w:szCs w:val="22"/>
        </w:rPr>
        <w:t xml:space="preserve">The complete orchestration path for a GCC quote request after integration:</w:t>
      </w:r>
    </w:p>
    <w:p>
      <w:pPr>
        <w:pBdr>
          <w:left w:val="single" w:color="1B4F72" w:sz="6" w:space="4"/>
        </w:pBdr>
        <w:shd w:fill="F8F9FA" w:val="clear"/>
        <w:spacing w:after="40" w:before="40"/>
        <w:ind w:left="360"/>
      </w:pPr>
      <w:r>
        <w:rPr>
          <w:rFonts w:ascii="Courier New" w:cs="Courier New" w:eastAsia="Courier New" w:hAnsi="Courier New"/>
          <w:color w:val="2C3E50"/>
          <w:sz w:val="17"/>
          <w:szCs w:val="17"/>
        </w:rPr>
        <w:t xml:space="preserve">User: "What's the current price of Emaar?"</w:t>
      </w:r>
    </w:p>
    <w:p>
      <w:pPr>
        <w:pBdr>
          <w:left w:val="single" w:color="1B4F72" w:sz="6" w:space="4"/>
        </w:pBdr>
        <w:shd w:fill="F8F9FA" w:val="clear"/>
        <w:spacing w:after="40" w:before="40"/>
        <w:ind w:left="360"/>
      </w:pPr>
      <w:r>
        <w:rPr>
          <w:rFonts w:ascii="Courier New" w:cs="Courier New" w:eastAsia="Courier New" w:hAnsi="Courier New"/>
          <w:color w:val="2C3E50"/>
          <w:sz w:val="17"/>
          <w:szCs w:val="17"/>
        </w:rPr>
        <w:t xml:space="preserve"/>
      </w:r>
    </w:p>
    <w:p>
      <w:pPr>
        <w:pBdr>
          <w:left w:val="single" w:color="1B4F72" w:sz="6" w:space="4"/>
        </w:pBdr>
        <w:shd w:fill="F8F9FA" w:val="clear"/>
        <w:spacing w:after="40" w:before="40"/>
        <w:ind w:left="360"/>
      </w:pPr>
      <w:r>
        <w:rPr>
          <w:rFonts w:ascii="Courier New" w:cs="Courier New" w:eastAsia="Courier New" w:hAnsi="Courier New"/>
          <w:color w:val="2C3E50"/>
          <w:sz w:val="17"/>
          <w:szCs w:val="17"/>
        </w:rPr>
        <w:t xml:space="preserve">1. POST /api/chat/stream</w:t>
      </w:r>
    </w:p>
    <w:p>
      <w:pPr>
        <w:pBdr>
          <w:left w:val="single" w:color="1B4F72" w:sz="6" w:space="4"/>
        </w:pBdr>
        <w:shd w:fill="F8F9FA" w:val="clear"/>
        <w:spacing w:after="40" w:before="40"/>
        <w:ind w:left="360"/>
      </w:pPr>
      <w:r>
        <w:rPr>
          <w:rFonts w:ascii="Courier New" w:cs="Courier New" w:eastAsia="Courier New" w:hAnsi="Courier New"/>
          <w:color w:val="2C3E50"/>
          <w:sz w:val="17"/>
          <w:szCs w:val="17"/>
        </w:rPr>
        <w:t xml:space="preserve">2. PII scan: clean (no PII detected)</w:t>
      </w:r>
    </w:p>
    <w:p>
      <w:pPr>
        <w:pBdr>
          <w:left w:val="single" w:color="1B4F72" w:sz="6" w:space="4"/>
        </w:pBdr>
        <w:shd w:fill="F8F9FA" w:val="clear"/>
        <w:spacing w:after="40" w:before="40"/>
        <w:ind w:left="360"/>
      </w:pPr>
      <w:r>
        <w:rPr>
          <w:rFonts w:ascii="Courier New" w:cs="Courier New" w:eastAsia="Courier New" w:hAnsi="Courier New"/>
          <w:color w:val="2C3E50"/>
          <w:sz w:val="17"/>
          <w:szCs w:val="17"/>
        </w:rPr>
        <w:t xml:space="preserve">3. Input moderation: clean (not flagged)</w:t>
      </w:r>
    </w:p>
    <w:p>
      <w:pPr>
        <w:pBdr>
          <w:left w:val="single" w:color="1B4F72" w:sz="6" w:space="4"/>
        </w:pBdr>
        <w:shd w:fill="F8F9FA" w:val="clear"/>
        <w:spacing w:after="40" w:before="40"/>
        <w:ind w:left="360"/>
      </w:pPr>
      <w:r>
        <w:rPr>
          <w:rFonts w:ascii="Courier New" w:cs="Courier New" w:eastAsia="Courier New" w:hAnsi="Courier New"/>
          <w:color w:val="2C3E50"/>
          <w:sz w:val="17"/>
          <w:szCs w:val="17"/>
        </w:rPr>
        <w:t xml:space="preserve">4. Intent classification (ada-classifier / gpt-4.1-nano):</w:t>
      </w:r>
    </w:p>
    <w:p>
      <w:pPr>
        <w:pBdr>
          <w:left w:val="single" w:color="1B4F72" w:sz="6" w:space="4"/>
        </w:pBdr>
        <w:shd w:fill="F8F9FA" w:val="clear"/>
        <w:spacing w:after="40" w:before="40"/>
        <w:ind w:left="360"/>
      </w:pPr>
      <w:r>
        <w:rPr>
          <w:rFonts w:ascii="Courier New" w:cs="Courier New" w:eastAsia="Courier New" w:hAnsi="Courier New"/>
          <w:color w:val="2C3E50"/>
          <w:sz w:val="17"/>
          <w:szCs w:val="17"/>
        </w:rPr>
        <w:t xml:space="preserve">   { intent: 'market_context', needs_live_data: true,</w:t>
      </w:r>
    </w:p>
    <w:p>
      <w:pPr>
        <w:pBdr>
          <w:left w:val="single" w:color="1B4F72" w:sz="6" w:space="4"/>
        </w:pBdr>
        <w:shd w:fill="F8F9FA" w:val="clear"/>
        <w:spacing w:after="40" w:before="40"/>
        <w:ind w:left="360"/>
      </w:pPr>
      <w:r>
        <w:rPr>
          <w:rFonts w:ascii="Courier New" w:cs="Courier New" w:eastAsia="Courier New" w:hAnsi="Courier New"/>
          <w:color w:val="2C3E50"/>
          <w:sz w:val="17"/>
          <w:szCs w:val="17"/>
        </w:rPr>
        <w:t xml:space="preserve">     mentioned_entities: ['EMAAR'] }</w:t>
      </w:r>
    </w:p>
    <w:p>
      <w:pPr>
        <w:pBdr>
          <w:left w:val="single" w:color="1B4F72" w:sz="6" w:space="4"/>
        </w:pBdr>
        <w:shd w:fill="F8F9FA" w:val="clear"/>
        <w:spacing w:after="40" w:before="40"/>
        <w:ind w:left="360"/>
      </w:pPr>
      <w:r>
        <w:rPr>
          <w:rFonts w:ascii="Courier New" w:cs="Courier New" w:eastAsia="Courier New" w:hAnsi="Courier New"/>
          <w:color w:val="2C3E50"/>
          <w:sz w:val="17"/>
          <w:szCs w:val="17"/>
        </w:rPr>
        <w:t xml:space="preserve">5. Model router: market_context → Lane 1 → ada-fast (gpt-4.1-mini)</w:t>
      </w:r>
    </w:p>
    <w:p>
      <w:pPr>
        <w:pBdr>
          <w:left w:val="single" w:color="1B4F72" w:sz="6" w:space="4"/>
        </w:pBdr>
        <w:shd w:fill="F8F9FA" w:val="clear"/>
        <w:spacing w:after="40" w:before="40"/>
        <w:ind w:left="360"/>
      </w:pPr>
      <w:r>
        <w:rPr>
          <w:rFonts w:ascii="Courier New" w:cs="Courier New" w:eastAsia="Courier New" w:hAnsi="Courier New"/>
          <w:color w:val="2C3E50"/>
          <w:sz w:val="17"/>
          <w:szCs w:val="17"/>
        </w:rPr>
        <w:t xml:space="preserve">6. Tool groups enabled: [financial_data, market_intel]</w:t>
      </w:r>
    </w:p>
    <w:p>
      <w:pPr>
        <w:pBdr>
          <w:left w:val="single" w:color="1B4F72" w:sz="6" w:space="4"/>
        </w:pBdr>
        <w:shd w:fill="F8F9FA" w:val="clear"/>
        <w:spacing w:after="40" w:before="40"/>
        <w:ind w:left="360"/>
      </w:pPr>
      <w:r>
        <w:rPr>
          <w:rFonts w:ascii="Courier New" w:cs="Courier New" w:eastAsia="Courier New" w:hAnsi="Courier New"/>
          <w:color w:val="2C3E50"/>
          <w:sz w:val="17"/>
          <w:szCs w:val="17"/>
        </w:rPr>
        <w:t xml:space="preserve">7. System prompt built with updated tool guide (GCC-aware)</w:t>
      </w:r>
    </w:p>
    <w:p>
      <w:pPr>
        <w:pBdr>
          <w:left w:val="single" w:color="1B4F72" w:sz="6" w:space="4"/>
        </w:pBdr>
        <w:shd w:fill="F8F9FA" w:val="clear"/>
        <w:spacing w:after="40" w:before="40"/>
        <w:ind w:left="360"/>
      </w:pPr>
      <w:r>
        <w:rPr>
          <w:rFonts w:ascii="Courier New" w:cs="Courier New" w:eastAsia="Courier New" w:hAnsi="Courier New"/>
          <w:color w:val="2C3E50"/>
          <w:sz w:val="17"/>
          <w:szCs w:val="17"/>
        </w:rPr>
        <w:t xml:space="preserve">8. LLM streaming begins:</w:t>
      </w:r>
    </w:p>
    <w:p>
      <w:pPr>
        <w:pBdr>
          <w:left w:val="single" w:color="1B4F72" w:sz="6" w:space="4"/>
        </w:pBdr>
        <w:shd w:fill="F8F9FA" w:val="clear"/>
        <w:spacing w:after="40" w:before="40"/>
        <w:ind w:left="360"/>
      </w:pPr>
      <w:r>
        <w:rPr>
          <w:rFonts w:ascii="Courier New" w:cs="Courier New" w:eastAsia="Courier New" w:hAnsi="Courier New"/>
          <w:color w:val="2C3E50"/>
          <w:sz w:val="17"/>
          <w:szCs w:val="17"/>
        </w:rPr>
        <w:t xml:space="preserve">   LLM calls getQuotes({ symbols: ['EMAAR'] })</w:t>
      </w:r>
    </w:p>
    <w:p>
      <w:pPr>
        <w:pBdr>
          <w:left w:val="single" w:color="1B4F72" w:sz="6" w:space="4"/>
        </w:pBdr>
        <w:shd w:fill="F8F9FA" w:val="clear"/>
        <w:spacing w:after="40" w:before="40"/>
        <w:ind w:left="360"/>
      </w:pPr>
      <w:r>
        <w:rPr>
          <w:rFonts w:ascii="Courier New" w:cs="Courier New" w:eastAsia="Courier New" w:hAnsi="Courier New"/>
          <w:color w:val="2C3E50"/>
          <w:sz w:val="17"/>
          <w:szCs w:val="17"/>
        </w:rPr>
        <w:t xml:space="preserve">9. Tool executor: toolRegistry.execute('getQuotes', { symbols: ['EMAAR'] })</w:t>
      </w:r>
    </w:p>
    <w:p>
      <w:pPr>
        <w:pBdr>
          <w:left w:val="single" w:color="1B4F72" w:sz="6" w:space="4"/>
        </w:pBdr>
        <w:shd w:fill="F8F9FA" w:val="clear"/>
        <w:spacing w:after="40" w:before="40"/>
        <w:ind w:left="360"/>
      </w:pPr>
      <w:r>
        <w:rPr>
          <w:rFonts w:ascii="Courier New" w:cs="Courier New" w:eastAsia="Courier New" w:hAnsi="Courier New"/>
          <w:color w:val="2C3E50"/>
          <w:sz w:val="17"/>
          <w:szCs w:val="17"/>
        </w:rPr>
        <w:t xml:space="preserve">   → registry.market.getQuotes(['EMAAR'])</w:t>
      </w:r>
    </w:p>
    <w:p>
      <w:pPr>
        <w:pBdr>
          <w:left w:val="single" w:color="1B4F72" w:sz="6" w:space="4"/>
        </w:pBdr>
        <w:shd w:fill="F8F9FA" w:val="clear"/>
        <w:spacing w:after="40" w:before="40"/>
        <w:ind w:left="360"/>
      </w:pPr>
      <w:r>
        <w:rPr>
          <w:rFonts w:ascii="Courier New" w:cs="Courier New" w:eastAsia="Courier New" w:hAnsi="Courier New"/>
          <w:color w:val="2C3E50"/>
          <w:sz w:val="17"/>
          <w:szCs w:val="17"/>
        </w:rPr>
        <w:t xml:space="preserve">10. Provider chain: Twelve Data is primary</w:t>
      </w:r>
    </w:p>
    <w:p>
      <w:pPr>
        <w:pBdr>
          <w:left w:val="single" w:color="1B4F72" w:sz="6" w:space="4"/>
        </w:pBdr>
        <w:shd w:fill="F8F9FA" w:val="clear"/>
        <w:spacing w:after="40" w:before="40"/>
        <w:ind w:left="360"/>
      </w:pPr>
      <w:r>
        <w:rPr>
          <w:rFonts w:ascii="Courier New" w:cs="Courier New" w:eastAsia="Courier New" w:hAnsi="Courier New"/>
          <w:color w:val="2C3E50"/>
          <w:sz w:val="17"/>
          <w:szCs w:val="17"/>
        </w:rPr>
        <w:t xml:space="preserve">    → symbolNormalizer.resolveSymbol('EMAAR')</w:t>
      </w:r>
    </w:p>
    <w:p>
      <w:pPr>
        <w:pBdr>
          <w:left w:val="single" w:color="1B4F72" w:sz="6" w:space="4"/>
        </w:pBdr>
        <w:shd w:fill="F8F9FA" w:val="clear"/>
        <w:spacing w:after="40" w:before="40"/>
        <w:ind w:left="360"/>
      </w:pPr>
      <w:r>
        <w:rPr>
          <w:rFonts w:ascii="Courier New" w:cs="Courier New" w:eastAsia="Courier New" w:hAnsi="Courier New"/>
          <w:color w:val="2C3E50"/>
          <w:sz w:val="17"/>
          <w:szCs w:val="17"/>
        </w:rPr>
        <w:t xml:space="preserve">      → { qualified: 'EMAAR:DFM', exchange: 'DFM', currency: 'AED',</w:t>
      </w:r>
    </w:p>
    <w:p>
      <w:pPr>
        <w:pBdr>
          <w:left w:val="single" w:color="1B4F72" w:sz="6" w:space="4"/>
        </w:pBdr>
        <w:shd w:fill="F8F9FA" w:val="clear"/>
        <w:spacing w:after="40" w:before="40"/>
        <w:ind w:left="360"/>
      </w:pPr>
      <w:r>
        <w:rPr>
          <w:rFonts w:ascii="Courier New" w:cs="Courier New" w:eastAsia="Courier New" w:hAnsi="Courier New"/>
          <w:color w:val="2C3E50"/>
          <w:sz w:val="17"/>
          <w:szCs w:val="17"/>
        </w:rPr>
        <w:t xml:space="preserve">           display_name: 'Emaar Properties (DFM)' }</w:t>
      </w:r>
    </w:p>
    <w:p>
      <w:pPr>
        <w:pBdr>
          <w:left w:val="single" w:color="1B4F72" w:sz="6" w:space="4"/>
        </w:pBdr>
        <w:shd w:fill="F8F9FA" w:val="clear"/>
        <w:spacing w:after="40" w:before="40"/>
        <w:ind w:left="360"/>
      </w:pPr>
      <w:r>
        <w:rPr>
          <w:rFonts w:ascii="Courier New" w:cs="Courier New" w:eastAsia="Courier New" w:hAnsi="Courier New"/>
          <w:color w:val="2C3E50"/>
          <w:sz w:val="17"/>
          <w:szCs w:val="17"/>
        </w:rPr>
        <w:t xml:space="preserve">    → GET https://api.twelvedata.com/quote?symbol=EMAAR:DFM&amp;apikey=...</w:t>
      </w:r>
    </w:p>
    <w:p>
      <w:pPr>
        <w:pBdr>
          <w:left w:val="single" w:color="1B4F72" w:sz="6" w:space="4"/>
        </w:pBdr>
        <w:shd w:fill="F8F9FA" w:val="clear"/>
        <w:spacing w:after="40" w:before="40"/>
        <w:ind w:left="360"/>
      </w:pPr>
      <w:r>
        <w:rPr>
          <w:rFonts w:ascii="Courier New" w:cs="Courier New" w:eastAsia="Courier New" w:hAnsi="Courier New"/>
          <w:color w:val="2C3E50"/>
          <w:sz w:val="17"/>
          <w:szCs w:val="17"/>
        </w:rPr>
        <w:t xml:space="preserve">    → Response: { close: '9.92', change: '0.07', percent_change: '0.71',</w:t>
      </w:r>
    </w:p>
    <w:p>
      <w:pPr>
        <w:pBdr>
          <w:left w:val="single" w:color="1B4F72" w:sz="6" w:space="4"/>
        </w:pBdr>
        <w:shd w:fill="F8F9FA" w:val="clear"/>
        <w:spacing w:after="40" w:before="40"/>
        <w:ind w:left="360"/>
      </w:pPr>
      <w:r>
        <w:rPr>
          <w:rFonts w:ascii="Courier New" w:cs="Courier New" w:eastAsia="Courier New" w:hAnsi="Courier New"/>
          <w:color w:val="2C3E50"/>
          <w:sz w:val="17"/>
          <w:szCs w:val="17"/>
        </w:rPr>
        <w:t xml:space="preserve">                    volume: '22000000', currency: 'AED', ... }</w:t>
      </w:r>
    </w:p>
    <w:p>
      <w:pPr>
        <w:pBdr>
          <w:left w:val="single" w:color="1B4F72" w:sz="6" w:space="4"/>
        </w:pBdr>
        <w:shd w:fill="F8F9FA" w:val="clear"/>
        <w:spacing w:after="40" w:before="40"/>
        <w:ind w:left="360"/>
      </w:pPr>
      <w:r>
        <w:rPr>
          <w:rFonts w:ascii="Courier New" w:cs="Courier New" w:eastAsia="Courier New" w:hAnsi="Courier New"/>
          <w:color w:val="2C3E50"/>
          <w:sz w:val="17"/>
          <w:szCs w:val="17"/>
        </w:rPr>
        <w:t xml:space="preserve">    → Normalize to MarketQuote:</w:t>
      </w:r>
    </w:p>
    <w:p>
      <w:pPr>
        <w:pBdr>
          <w:left w:val="single" w:color="1B4F72" w:sz="6" w:space="4"/>
        </w:pBdr>
        <w:shd w:fill="F8F9FA" w:val="clear"/>
        <w:spacing w:after="40" w:before="40"/>
        <w:ind w:left="360"/>
      </w:pPr>
      <w:r>
        <w:rPr>
          <w:rFonts w:ascii="Courier New" w:cs="Courier New" w:eastAsia="Courier New" w:hAnsi="Courier New"/>
          <w:color w:val="2C3E50"/>
          <w:sz w:val="17"/>
          <w:szCs w:val="17"/>
        </w:rPr>
        <w:t xml:space="preserve">      { symbol: 'EMAAR', price: 9.92, change: 0.07, change_percent: 0.71,</w:t>
      </w:r>
    </w:p>
    <w:p>
      <w:pPr>
        <w:pBdr>
          <w:left w:val="single" w:color="1B4F72" w:sz="6" w:space="4"/>
        </w:pBdr>
        <w:shd w:fill="F8F9FA" w:val="clear"/>
        <w:spacing w:after="40" w:before="40"/>
        <w:ind w:left="360"/>
      </w:pPr>
      <w:r>
        <w:rPr>
          <w:rFonts w:ascii="Courier New" w:cs="Courier New" w:eastAsia="Courier New" w:hAnsi="Courier New"/>
          <w:color w:val="2C3E50"/>
          <w:sz w:val="17"/>
          <w:szCs w:val="17"/>
        </w:rPr>
        <w:t xml:space="preserve">        currency: 'AED', display_symbol: 'Emaar Properties (DFM)',</w:t>
      </w:r>
    </w:p>
    <w:p>
      <w:pPr>
        <w:pBdr>
          <w:left w:val="single" w:color="1B4F72" w:sz="6" w:space="4"/>
        </w:pBdr>
        <w:shd w:fill="F8F9FA" w:val="clear"/>
        <w:spacing w:after="40" w:before="40"/>
        <w:ind w:left="360"/>
      </w:pPr>
      <w:r>
        <w:rPr>
          <w:rFonts w:ascii="Courier New" w:cs="Courier New" w:eastAsia="Courier New" w:hAnsi="Courier New"/>
          <w:color w:val="2C3E50"/>
          <w:sz w:val="17"/>
          <w:szCs w:val="17"/>
        </w:rPr>
        <w:t xml:space="preserve">        provider_symbol: 'EMAAR:DFM', is_delayed: true,</w:t>
      </w:r>
    </w:p>
    <w:p>
      <w:pPr>
        <w:pBdr>
          <w:left w:val="single" w:color="1B4F72" w:sz="6" w:space="4"/>
        </w:pBdr>
        <w:shd w:fill="F8F9FA" w:val="clear"/>
        <w:spacing w:after="40" w:before="40"/>
        <w:ind w:left="360"/>
      </w:pPr>
      <w:r>
        <w:rPr>
          <w:rFonts w:ascii="Courier New" w:cs="Courier New" w:eastAsia="Courier New" w:hAnsi="Courier New"/>
          <w:color w:val="2C3E50"/>
          <w:sz w:val="17"/>
          <w:szCs w:val="17"/>
        </w:rPr>
        <w:t xml:space="preserve">        source_provider: 'twelve_data' }</w:t>
      </w:r>
    </w:p>
    <w:p>
      <w:pPr>
        <w:pBdr>
          <w:left w:val="single" w:color="1B4F72" w:sz="6" w:space="4"/>
        </w:pBdr>
        <w:shd w:fill="F8F9FA" w:val="clear"/>
        <w:spacing w:after="40" w:before="40"/>
        <w:ind w:left="360"/>
      </w:pPr>
      <w:r>
        <w:rPr>
          <w:rFonts w:ascii="Courier New" w:cs="Courier New" w:eastAsia="Courier New" w:hAnsi="Courier New"/>
          <w:color w:val="2C3E50"/>
          <w:sz w:val="17"/>
          <w:szCs w:val="17"/>
        </w:rPr>
        <w:t xml:space="preserve">    → toolOk(...)</w:t>
      </w:r>
    </w:p>
    <w:p>
      <w:pPr>
        <w:pBdr>
          <w:left w:val="single" w:color="1B4F72" w:sz="6" w:space="4"/>
        </w:pBdr>
        <w:shd w:fill="F8F9FA" w:val="clear"/>
        <w:spacing w:after="40" w:before="40"/>
        <w:ind w:left="360"/>
      </w:pPr>
      <w:r>
        <w:rPr>
          <w:rFonts w:ascii="Courier New" w:cs="Courier New" w:eastAsia="Courier New" w:hAnsi="Courier New"/>
          <w:color w:val="2C3E50"/>
          <w:sz w:val="17"/>
          <w:szCs w:val="17"/>
        </w:rPr>
        <w:t xml:space="preserve">11. LLM receives tool result, narrates:</w:t>
      </w:r>
    </w:p>
    <w:p>
      <w:pPr>
        <w:pBdr>
          <w:left w:val="single" w:color="1B4F72" w:sz="6" w:space="4"/>
        </w:pBdr>
        <w:shd w:fill="F8F9FA" w:val="clear"/>
        <w:spacing w:after="40" w:before="40"/>
        <w:ind w:left="360"/>
      </w:pPr>
      <w:r>
        <w:rPr>
          <w:rFonts w:ascii="Courier New" w:cs="Courier New" w:eastAsia="Courier New" w:hAnsi="Courier New"/>
          <w:color w:val="2C3E50"/>
          <w:sz w:val="17"/>
          <w:szCs w:val="17"/>
        </w:rPr>
        <w:t xml:space="preserve">    "Emaar Properties is currently trading at AED 9.92 on the Dubai</w:t>
      </w:r>
    </w:p>
    <w:p>
      <w:pPr>
        <w:pBdr>
          <w:left w:val="single" w:color="1B4F72" w:sz="6" w:space="4"/>
        </w:pBdr>
        <w:shd w:fill="F8F9FA" w:val="clear"/>
        <w:spacing w:after="40" w:before="40"/>
        <w:ind w:left="360"/>
      </w:pPr>
      <w:r>
        <w:rPr>
          <w:rFonts w:ascii="Courier New" w:cs="Courier New" w:eastAsia="Courier New" w:hAnsi="Courier New"/>
          <w:color w:val="2C3E50"/>
          <w:sz w:val="17"/>
          <w:szCs w:val="17"/>
        </w:rPr>
        <w:t xml:space="preserve">     Financial Market, up 0.71% today. This is a 15-minute delayed price."</w:t>
      </w:r>
    </w:p>
    <w:p>
      <w:pPr>
        <w:pBdr>
          <w:left w:val="single" w:color="1B4F72" w:sz="6" w:space="4"/>
        </w:pBdr>
        <w:shd w:fill="F8F9FA" w:val="clear"/>
        <w:spacing w:after="40" w:before="40"/>
        <w:ind w:left="360"/>
      </w:pPr>
      <w:r>
        <w:rPr>
          <w:rFonts w:ascii="Courier New" w:cs="Courier New" w:eastAsia="Courier New" w:hAnsi="Courier New"/>
          <w:color w:val="2C3E50"/>
          <w:sz w:val="17"/>
          <w:szCs w:val="17"/>
        </w:rPr>
        <w:t xml:space="preserve">12. Output moderation + guardrails + response builder</w:t>
      </w:r>
    </w:p>
    <w:p>
      <w:pPr>
        <w:pBdr>
          <w:left w:val="single" w:color="1B4F72" w:sz="6" w:space="4"/>
        </w:pBdr>
        <w:shd w:fill="F8F9FA" w:val="clear"/>
        <w:spacing w:after="40" w:before="40"/>
        <w:ind w:left="360"/>
      </w:pPr>
      <w:r>
        <w:rPr>
          <w:rFonts w:ascii="Courier New" w:cs="Courier New" w:eastAsia="Courier New" w:hAnsi="Courier New"/>
          <w:color w:val="2C3E50"/>
          <w:sz w:val="17"/>
          <w:szCs w:val="17"/>
        </w:rPr>
        <w:t xml:space="preserve">13. SSE stream: { type: 'text', content: '...' } → { type: 'done' }</w:t>
      </w:r>
    </w:p>
    <w:p>
      <w:r>
        <w:br w:type="page"/>
      </w:r>
    </w:p>
    <w:p>
      <w:pPr>
        <w:pStyle w:val="Heading1"/>
        <w:spacing w:after="200" w:before="380"/>
      </w:pPr>
      <w:r>
        <w:rPr>
          <w:rFonts w:ascii="Arial" w:cs="Arial" w:eastAsia="Arial" w:hAnsi="Arial"/>
        </w:rPr>
        <w:t xml:space="preserve">7. Multi-Currency Handling</w:t>
      </w:r>
    </w:p>
    <w:p>
      <w:pPr>
        <w:pStyle w:val="Heading2"/>
        <w:spacing w:after="180" w:before="280"/>
      </w:pPr>
      <w:r>
        <w:rPr>
          <w:rFonts w:ascii="Arial" w:cs="Arial" w:eastAsia="Arial" w:hAnsi="Arial"/>
        </w:rPr>
        <w:t xml:space="preserve">7.1 The Problem (B-05)</w:t>
      </w:r>
    </w:p>
    <w:p>
      <w:pPr>
        <w:spacing w:after="160" w:before="0" w:line="276"/>
      </w:pPr>
      <w:r>
        <w:rPr>
          <w:rFonts w:ascii="Arial" w:cs="Arial" w:eastAsia="Arial" w:hAnsi="Arial"/>
          <w:sz w:val="22"/>
          <w:szCs w:val="22"/>
        </w:rPr>
        <w:t xml:space="preserve">GCC instrument prices are denominated in local currencies: AED for DFM/ADX, SAR for Tadawul. The MarketQuote type already includes a currency field, and the instruments table stores currency per instrument. What is untested is the display path: the LLM’s narration, the HoldingsSummary widget, and the PortfolioSummaryWidget.</w:t>
      </w:r>
    </w:p>
    <w:p>
      <w:pPr>
        <w:pStyle w:val="Heading2"/>
        <w:spacing w:after="180" w:before="280"/>
      </w:pPr>
      <w:r>
        <w:rPr>
          <w:rFonts w:ascii="Arial" w:cs="Arial" w:eastAsia="Arial" w:hAnsi="Arial"/>
        </w:rPr>
        <w:t xml:space="preserve">7.2 LLM Narration</w:t>
      </w:r>
    </w:p>
    <w:p>
      <w:pPr>
        <w:spacing w:after="160" w:before="0" w:line="276"/>
      </w:pPr>
      <w:r>
        <w:rPr>
          <w:rFonts w:ascii="Arial" w:cs="Arial" w:eastAsia="Arial" w:hAnsi="Arial"/>
          <w:sz w:val="22"/>
          <w:szCs w:val="22"/>
        </w:rPr>
        <w:t xml:space="preserve">No code change needed. The LLM receives the currency field in the tool result and naturally incorporates it: “AED 9.92” vs “$149.50.” The system prompt’s grounding rules (“market claims MUST come from tool data”) ensure the LLM uses the actual currency from the response. The added display_symbol field (“Emaar Properties (DFM)”) gives the LLM further context to produce natural narration.</w:t>
      </w:r>
    </w:p>
    <w:p>
      <w:pPr>
        <w:pStyle w:val="Heading2"/>
        <w:spacing w:after="180" w:before="280"/>
      </w:pPr>
      <w:r>
        <w:rPr>
          <w:rFonts w:ascii="Arial" w:cs="Arial" w:eastAsia="Arial" w:hAnsi="Arial"/>
        </w:rPr>
        <w:t xml:space="preserve">7.3 Chat Widget Currency Formatting</w:t>
      </w:r>
    </w:p>
    <w:p>
      <w:pPr>
        <w:spacing w:after="160" w:before="0" w:line="276"/>
      </w:pPr>
      <w:r>
        <w:rPr>
          <w:rFonts w:ascii="Arial" w:cs="Arial" w:eastAsia="Arial" w:hAnsi="Arial"/>
          <w:sz w:val="22"/>
          <w:szCs w:val="22"/>
        </w:rPr>
        <w:t xml:space="preserve">The HoldingsSummary and PortfolioSummaryWidget components in ChatWidgets.tsx should use a lightweight currency formatter:</w:t>
      </w:r>
    </w:p>
    <w:p>
      <w:pPr>
        <w:pBdr>
          <w:left w:val="single" w:color="1B4F72" w:sz="6" w:space="4"/>
        </w:pBdr>
        <w:shd w:fill="F8F9FA" w:val="clear"/>
        <w:spacing w:after="40" w:before="40"/>
        <w:ind w:left="360"/>
      </w:pPr>
      <w:r>
        <w:rPr>
          <w:rFonts w:ascii="Courier New" w:cs="Courier New" w:eastAsia="Courier New" w:hAnsi="Courier New"/>
          <w:color w:val="2C3E50"/>
          <w:sz w:val="17"/>
          <w:szCs w:val="17"/>
        </w:rPr>
        <w:t xml:space="preserve">const CURRENCY_SYMBOLS: Record&lt;string, string&gt; = {</w:t>
      </w:r>
    </w:p>
    <w:p>
      <w:pPr>
        <w:pBdr>
          <w:left w:val="single" w:color="1B4F72" w:sz="6" w:space="4"/>
        </w:pBdr>
        <w:shd w:fill="F8F9FA" w:val="clear"/>
        <w:spacing w:after="40" w:before="40"/>
        <w:ind w:left="360"/>
      </w:pPr>
      <w:r>
        <w:rPr>
          <w:rFonts w:ascii="Courier New" w:cs="Courier New" w:eastAsia="Courier New" w:hAnsi="Courier New"/>
          <w:color w:val="2C3E50"/>
          <w:sz w:val="17"/>
          <w:szCs w:val="17"/>
        </w:rPr>
        <w:t xml:space="preserve">  USD: '$',  EUR: '€',  GBP: '£',</w:t>
      </w:r>
    </w:p>
    <w:p>
      <w:pPr>
        <w:pBdr>
          <w:left w:val="single" w:color="1B4F72" w:sz="6" w:space="4"/>
        </w:pBdr>
        <w:shd w:fill="F8F9FA" w:val="clear"/>
        <w:spacing w:after="40" w:before="40"/>
        <w:ind w:left="360"/>
      </w:pPr>
      <w:r>
        <w:rPr>
          <w:rFonts w:ascii="Courier New" w:cs="Courier New" w:eastAsia="Courier New" w:hAnsi="Courier New"/>
          <w:color w:val="2C3E50"/>
          <w:sz w:val="17"/>
          <w:szCs w:val="17"/>
        </w:rPr>
        <w:t xml:space="preserve">  AED: 'AED ',   // or 'د.إ ' for Arabic display</w:t>
      </w:r>
    </w:p>
    <w:p>
      <w:pPr>
        <w:pBdr>
          <w:left w:val="single" w:color="1B4F72" w:sz="6" w:space="4"/>
        </w:pBdr>
        <w:shd w:fill="F8F9FA" w:val="clear"/>
        <w:spacing w:after="40" w:before="40"/>
        <w:ind w:left="360"/>
      </w:pPr>
      <w:r>
        <w:rPr>
          <w:rFonts w:ascii="Courier New" w:cs="Courier New" w:eastAsia="Courier New" w:hAnsi="Courier New"/>
          <w:color w:val="2C3E50"/>
          <w:sz w:val="17"/>
          <w:szCs w:val="17"/>
        </w:rPr>
        <w:t xml:space="preserve">  SAR: 'SAR ',   // or '﷼ ' for Arabic display</w:t>
      </w:r>
    </w:p>
    <w:p>
      <w:pPr>
        <w:pBdr>
          <w:left w:val="single" w:color="1B4F72" w:sz="6" w:space="4"/>
        </w:pBdr>
        <w:shd w:fill="F8F9FA" w:val="clear"/>
        <w:spacing w:after="40" w:before="40"/>
        <w:ind w:left="360"/>
      </w:pPr>
      <w:r>
        <w:rPr>
          <w:rFonts w:ascii="Courier New" w:cs="Courier New" w:eastAsia="Courier New" w:hAnsi="Courier New"/>
          <w:color w:val="2C3E50"/>
          <w:sz w:val="17"/>
          <w:szCs w:val="17"/>
        </w:rPr>
        <w:t xml:space="preserve">};</w:t>
      </w:r>
    </w:p>
    <w:p>
      <w:pPr>
        <w:pBdr>
          <w:left w:val="single" w:color="1B4F72" w:sz="6" w:space="4"/>
        </w:pBdr>
        <w:shd w:fill="F8F9FA" w:val="clear"/>
        <w:spacing w:after="40" w:before="40"/>
        <w:ind w:left="360"/>
      </w:pPr>
      <w:r>
        <w:rPr>
          <w:rFonts w:ascii="Courier New" w:cs="Courier New" w:eastAsia="Courier New" w:hAnsi="Courier New"/>
          <w:color w:val="2C3E50"/>
          <w:sz w:val="17"/>
          <w:szCs w:val="17"/>
        </w:rPr>
        <w:t xml:space="preserve"/>
      </w:r>
    </w:p>
    <w:p>
      <w:pPr>
        <w:pBdr>
          <w:left w:val="single" w:color="1B4F72" w:sz="6" w:space="4"/>
        </w:pBdr>
        <w:shd w:fill="F8F9FA" w:val="clear"/>
        <w:spacing w:after="40" w:before="40"/>
        <w:ind w:left="360"/>
      </w:pPr>
      <w:r>
        <w:rPr>
          <w:rFonts w:ascii="Courier New" w:cs="Courier New" w:eastAsia="Courier New" w:hAnsi="Courier New"/>
          <w:color w:val="2C3E50"/>
          <w:sz w:val="17"/>
          <w:szCs w:val="17"/>
        </w:rPr>
        <w:t xml:space="preserve">function formatPrice(amount: number, currency: string): string {</w:t>
      </w:r>
    </w:p>
    <w:p>
      <w:pPr>
        <w:pBdr>
          <w:left w:val="single" w:color="1B4F72" w:sz="6" w:space="4"/>
        </w:pBdr>
        <w:shd w:fill="F8F9FA" w:val="clear"/>
        <w:spacing w:after="40" w:before="40"/>
        <w:ind w:left="360"/>
      </w:pPr>
      <w:r>
        <w:rPr>
          <w:rFonts w:ascii="Courier New" w:cs="Courier New" w:eastAsia="Courier New" w:hAnsi="Courier New"/>
          <w:color w:val="2C3E50"/>
          <w:sz w:val="17"/>
          <w:szCs w:val="17"/>
        </w:rPr>
        <w:t xml:space="preserve">  const sym = CURRENCY_SYMBOLS[currency] || currency + ' ';</w:t>
      </w:r>
    </w:p>
    <w:p>
      <w:pPr>
        <w:pBdr>
          <w:left w:val="single" w:color="1B4F72" w:sz="6" w:space="4"/>
        </w:pBdr>
        <w:shd w:fill="F8F9FA" w:val="clear"/>
        <w:spacing w:after="40" w:before="40"/>
        <w:ind w:left="360"/>
      </w:pPr>
      <w:r>
        <w:rPr>
          <w:rFonts w:ascii="Courier New" w:cs="Courier New" w:eastAsia="Courier New" w:hAnsi="Courier New"/>
          <w:color w:val="2C3E50"/>
          <w:sz w:val="17"/>
          <w:szCs w:val="17"/>
        </w:rPr>
        <w:t xml:space="preserve">  return `${sym}${amount.toLocaleString(undefined, {</w:t>
      </w:r>
    </w:p>
    <w:p>
      <w:pPr>
        <w:pBdr>
          <w:left w:val="single" w:color="1B4F72" w:sz="6" w:space="4"/>
        </w:pBdr>
        <w:shd w:fill="F8F9FA" w:val="clear"/>
        <w:spacing w:after="40" w:before="40"/>
        <w:ind w:left="360"/>
      </w:pPr>
      <w:r>
        <w:rPr>
          <w:rFonts w:ascii="Courier New" w:cs="Courier New" w:eastAsia="Courier New" w:hAnsi="Courier New"/>
          <w:color w:val="2C3E50"/>
          <w:sz w:val="17"/>
          <w:szCs w:val="17"/>
        </w:rPr>
        <w:t xml:space="preserve">    minimumFractionDigits: 2, maximumFractionDigits: 2</w:t>
      </w:r>
    </w:p>
    <w:p>
      <w:pPr>
        <w:pBdr>
          <w:left w:val="single" w:color="1B4F72" w:sz="6" w:space="4"/>
        </w:pBdr>
        <w:shd w:fill="F8F9FA" w:val="clear"/>
        <w:spacing w:after="40" w:before="40"/>
        <w:ind w:left="360"/>
      </w:pPr>
      <w:r>
        <w:rPr>
          <w:rFonts w:ascii="Courier New" w:cs="Courier New" w:eastAsia="Courier New" w:hAnsi="Courier New"/>
          <w:color w:val="2C3E50"/>
          <w:sz w:val="17"/>
          <w:szCs w:val="17"/>
        </w:rPr>
        <w:t xml:space="preserve">  })}`;</w:t>
      </w:r>
    </w:p>
    <w:p>
      <w:pPr>
        <w:pBdr>
          <w:left w:val="single" w:color="1B4F72" w:sz="6" w:space="4"/>
        </w:pBdr>
        <w:shd w:fill="F8F9FA" w:val="clear"/>
        <w:spacing w:after="40" w:before="40"/>
        <w:ind w:left="360"/>
      </w:pPr>
      <w:r>
        <w:rPr>
          <w:rFonts w:ascii="Courier New" w:cs="Courier New" w:eastAsia="Courier New" w:hAnsi="Courier New"/>
          <w:color w:val="2C3E50"/>
          <w:sz w:val="17"/>
          <w:szCs w:val="17"/>
        </w:rPr>
        <w:t xml:space="preserve">}</w:t>
      </w:r>
    </w:p>
    <w:p>
      <w:pPr>
        <w:spacing w:after="160" w:before="0" w:line="276"/>
      </w:pPr>
      <w:r>
        <w:rPr>
          <w:rFonts w:ascii="Arial" w:cs="Arial" w:eastAsia="Arial" w:hAnsi="Arial"/>
          <w:sz w:val="22"/>
          <w:szCs w:val="22"/>
        </w:rPr>
        <w:t xml:space="preserve">This is a frontend-only change. For the day-1 demo, using the ISO code prefix (AED 9.92) is cleaner and less ambiguous than Arabic currency symbols.</w:t>
      </w:r>
    </w:p>
    <w:p>
      <w:pPr>
        <w:pStyle w:val="Heading2"/>
        <w:spacing w:after="180" w:before="280"/>
      </w:pPr>
      <w:r>
        <w:rPr>
          <w:rFonts w:ascii="Arial" w:cs="Arial" w:eastAsia="Arial" w:hAnsi="Arial"/>
        </w:rPr>
        <w:t xml:space="preserve">7.4 Portfolio Value Aggregation</w:t>
      </w:r>
    </w:p>
    <w:p>
      <w:pPr>
        <w:spacing w:after="160" w:before="0" w:line="276"/>
      </w:pPr>
      <w:r>
        <w:rPr>
          <w:rFonts w:ascii="Arial" w:cs="Arial" w:eastAsia="Arial" w:hAnsi="Arial"/>
          <w:sz w:val="22"/>
          <w:szCs w:val="22"/>
        </w:rPr>
        <w:t xml:space="preserve">The portfolio’s total value is displayed in a single base currency (USD for the demo). When positions include GCC instruments priced in AED/SAR, the wealthEngine’s portfolio health calculation must convert to USD using getFxRate. Ada’s existing FX infrastructure (Frankfurter + CBUAE providers) already handles AED → USD and SAR → USD conversions. No new FX provider is needed.</w:t>
      </w:r>
    </w:p>
    <w:p>
      <w:r>
        <w:br w:type="page"/>
      </w:r>
    </w:p>
    <w:p>
      <w:pPr>
        <w:pStyle w:val="Heading1"/>
        <w:spacing w:after="200" w:before="380"/>
      </w:pPr>
      <w:r>
        <w:rPr>
          <w:rFonts w:ascii="Arial" w:cs="Arial" w:eastAsia="Arial" w:hAnsi="Arial"/>
        </w:rPr>
        <w:t xml:space="preserve">8. Discover Pipeline &amp; Morning Sentinel</w:t>
      </w:r>
    </w:p>
    <w:p>
      <w:pPr>
        <w:pStyle w:val="Heading2"/>
        <w:spacing w:after="180" w:before="280"/>
      </w:pPr>
      <w:r>
        <w:rPr>
          <w:rFonts w:ascii="Arial" w:cs="Arial" w:eastAsia="Arial" w:hAnsi="Arial"/>
        </w:rPr>
        <w:t xml:space="preserve">8.1 Discover Tab — GCC Content Enrichment</w:t>
      </w:r>
    </w:p>
    <w:p>
      <w:pPr>
        <w:spacing w:after="160" w:before="0" w:line="276"/>
      </w:pPr>
      <w:r>
        <w:rPr>
          <w:rFonts w:ascii="Arial" w:cs="Arial" w:eastAsia="Arial" w:hAnsi="Arial"/>
          <w:sz w:val="22"/>
          <w:szCs w:val="22"/>
        </w:rPr>
        <w:t xml:space="preserve">The Discover tab’s content pipeline currently ingests news from Finnhub, which provides limited GCC coverage. With Twelve Data integrated, two enrichment paths open:</w:t>
      </w:r>
    </w:p>
    <w:p>
      <w:pPr>
        <w:spacing w:after="160" w:before="0" w:line="276"/>
      </w:pPr>
      <w:r>
        <w:rPr>
          <w:rFonts w:ascii="Arial" w:cs="Arial" w:eastAsia="Arial" w:hAnsi="Arial"/>
          <w:b/>
          <w:bCs/>
          <w:sz w:val="22"/>
          <w:szCs w:val="22"/>
        </w:rPr>
        <w:t xml:space="preserve">Price-triggered content cards: </w:t>
      </w:r>
      <w:r>
        <w:rPr>
          <w:rFonts w:ascii="Arial" w:cs="Arial" w:eastAsia="Arial" w:hAnsi="Arial"/>
          <w:sz w:val="22"/>
          <w:szCs w:val="22"/>
        </w:rPr>
        <w:t xml:space="preserve">The ingest worker (10-minute interval) can poll Twelve Data for GCC instrument quotes via the standard provider chain. When a significant price movement is detected (e.g., EMAAR up &gt;3%), a price-movement Discover card is generated. This uses the same getQuotes call, so it benefits from the fallback chain, caching, and rate limiting automatically.</w:t>
      </w:r>
    </w:p>
    <w:p>
      <w:pPr>
        <w:spacing w:after="160" w:before="0" w:line="276"/>
      </w:pPr>
      <w:r>
        <w:rPr>
          <w:rFonts w:ascii="Arial" w:cs="Arial" w:eastAsia="Arial" w:hAnsi="Arial"/>
          <w:b/>
          <w:bCs/>
          <w:sz w:val="22"/>
          <w:szCs w:val="22"/>
        </w:rPr>
        <w:t xml:space="preserve">Composition guardrails: </w:t>
      </w:r>
      <w:r>
        <w:rPr>
          <w:rFonts w:ascii="Arial" w:cs="Arial" w:eastAsia="Arial" w:hAnsi="Arial"/>
          <w:sz w:val="22"/>
          <w:szCs w:val="22"/>
        </w:rPr>
        <w:t xml:space="preserve">The feed materializer already enforces “GCC card in top 5.” With live price data, these cards carry real context instead of generic market commentary.</w:t>
      </w:r>
    </w:p>
    <w:p>
      <w:pPr>
        <w:pStyle w:val="Heading2"/>
        <w:spacing w:after="180" w:before="280"/>
      </w:pPr>
      <w:r>
        <w:rPr>
          <w:rFonts w:ascii="Arial" w:cs="Arial" w:eastAsia="Arial" w:hAnsi="Arial"/>
        </w:rPr>
        <w:t xml:space="preserve">8.2 Morning Sentinel</w:t>
      </w:r>
    </w:p>
    <w:p>
      <w:pPr>
        <w:spacing w:after="160" w:before="0" w:line="276"/>
      </w:pPr>
      <w:r>
        <w:rPr>
          <w:rFonts w:ascii="Arial" w:cs="Arial" w:eastAsia="Arial" w:hAnsi="Arial"/>
          <w:sz w:val="22"/>
          <w:szCs w:val="22"/>
        </w:rPr>
        <w:t xml:space="preserve">The Morning Sentinel briefing (6-hour refresh) generates a morning summary per persona. With live GCC data, the briefing can include overnight price movements for the persona’s GCC holdings. The sentinel worker calls getPortfolioSnapshot and getHoldings, which call the provider chain. No additional integration is needed — live GCC data flows through automatically.</w:t>
      </w:r>
    </w:p>
    <w:p>
      <w:pPr>
        <w:pStyle w:val="Heading2"/>
        <w:spacing w:after="180" w:before="280"/>
      </w:pPr>
      <w:r>
        <w:rPr>
          <w:rFonts w:ascii="Arial" w:cs="Arial" w:eastAsia="Arial" w:hAnsi="Arial"/>
        </w:rPr>
        <w:t xml:space="preserve">8.3 Wealth Tab Holdings Refresh</w:t>
      </w:r>
    </w:p>
    <w:p>
      <w:pPr>
        <w:spacing w:after="160" w:before="0" w:line="276"/>
      </w:pPr>
      <w:r>
        <w:rPr>
          <w:rFonts w:ascii="Arial" w:cs="Arial" w:eastAsia="Arial" w:hAnsi="Arial"/>
          <w:sz w:val="22"/>
          <w:szCs w:val="22"/>
        </w:rPr>
        <w:t xml:space="preserve">The Wealth tab’s holdings display currently shows static portfolio data from PostgreSQL. Once quotes flow through the provider chain, the holdings endpoint (/api/wealth/holdings) can enrich each position’s current_price with a live quote. This is an optional enhancement — the demo works without it because seed data provides baseline prices — but it makes the Wealth tab feel live.</w:t>
      </w:r>
    </w:p>
    <w:p>
      <w:r>
        <w:br w:type="page"/>
      </w:r>
    </w:p>
    <w:p>
      <w:pPr>
        <w:pStyle w:val="Heading1"/>
        <w:spacing w:after="200" w:before="380"/>
      </w:pPr>
      <w:r>
        <w:rPr>
          <w:rFonts w:ascii="Arial" w:cs="Arial" w:eastAsia="Arial" w:hAnsi="Arial"/>
        </w:rPr>
        <w:t xml:space="preserve">9. Attribution &amp; Compliance</w:t>
      </w:r>
    </w:p>
    <w:p>
      <w:pPr>
        <w:pStyle w:val="Heading2"/>
        <w:spacing w:after="180" w:before="280"/>
      </w:pPr>
      <w:r>
        <w:rPr>
          <w:rFonts w:ascii="Arial" w:cs="Arial" w:eastAsia="Arial" w:hAnsi="Arial"/>
        </w:rPr>
        <w:t xml:space="preserve">9.1 Twelve Data Terms of Service</w:t>
      </w:r>
    </w:p>
    <w:p>
      <w:pPr>
        <w:spacing w:after="160" w:before="0" w:line="276"/>
      </w:pPr>
      <w:r>
        <w:rPr>
          <w:rFonts w:ascii="Arial" w:cs="Arial" w:eastAsia="Arial" w:hAnsi="Arial"/>
          <w:sz w:val="22"/>
          <w:szCs w:val="22"/>
        </w:rPr>
        <w:t xml:space="preserve">Twelve Data’s terms require attribution (“Powered by Twelve Data”) where their data is displayed. This is implemented in two locations:</w:t>
      </w:r>
    </w:p>
    <w:p>
      <w:pPr>
        <w:spacing w:after="160" w:before="0" w:line="276"/>
      </w:pPr>
      <w:r>
        <w:rPr>
          <w:rFonts w:ascii="Arial" w:cs="Arial" w:eastAsia="Arial" w:hAnsi="Arial"/>
          <w:b/>
          <w:bCs/>
          <w:sz w:val="22"/>
          <w:szCs w:val="22"/>
        </w:rPr>
        <w:t xml:space="preserve">Chat responses: </w:t>
      </w:r>
      <w:r>
        <w:rPr>
          <w:rFonts w:ascii="Arial" w:cs="Arial" w:eastAsia="Arial" w:hAnsi="Arial"/>
          <w:sz w:val="22"/>
          <w:szCs w:val="22"/>
        </w:rPr>
        <w:t xml:space="preserve">The response builder (responseBuilder.ts) appends a subtle attribution line when the ToolResult’s source_provider is ‘twelve_data’. This is analogous to how the guardrails module appends disclaimers — automatic, no LLM cooperation required.</w:t>
      </w:r>
    </w:p>
    <w:p>
      <w:pPr>
        <w:spacing w:after="160" w:before="0" w:line="276"/>
      </w:pPr>
      <w:r>
        <w:rPr>
          <w:rFonts w:ascii="Arial" w:cs="Arial" w:eastAsia="Arial" w:hAnsi="Arial"/>
          <w:b/>
          <w:bCs/>
          <w:sz w:val="22"/>
          <w:szCs w:val="22"/>
        </w:rPr>
        <w:t xml:space="preserve">Wealth tab: </w:t>
      </w:r>
      <w:r>
        <w:rPr>
          <w:rFonts w:ascii="Arial" w:cs="Arial" w:eastAsia="Arial" w:hAnsi="Arial"/>
          <w:sz w:val="22"/>
          <w:szCs w:val="22"/>
        </w:rPr>
        <w:t xml:space="preserve">A small “Powered by Twelve Data” text in the holdings section footer. Static frontend addition.</w:t>
      </w:r>
    </w:p>
    <w:p>
      <w:pPr>
        <w:pStyle w:val="Heading2"/>
        <w:spacing w:after="180" w:before="280"/>
      </w:pPr>
      <w:r>
        <w:rPr>
          <w:rFonts w:ascii="Arial" w:cs="Arial" w:eastAsia="Arial" w:hAnsi="Arial"/>
        </w:rPr>
        <w:t xml:space="preserve">9.2 Delayed Data Disclosure</w:t>
      </w:r>
    </w:p>
    <w:p>
      <w:pPr>
        <w:spacing w:after="160" w:before="0" w:line="276"/>
      </w:pPr>
      <w:r>
        <w:rPr>
          <w:rFonts w:ascii="Arial" w:cs="Arial" w:eastAsia="Arial" w:hAnsi="Arial"/>
          <w:sz w:val="22"/>
          <w:szCs w:val="22"/>
        </w:rPr>
        <w:t xml:space="preserve">On the Grow plan, all international exchange data is 15 minutes delayed. The is_delayed flag on MarketQuote ensures the LLM can (and should) say “delayed price” rather than “current price.” The system prompt should include guidance: “If the quote’s is_delayed flag is true, mention that the price is delayed.”</w:t>
      </w:r>
    </w:p>
    <w:p>
      <w:pPr>
        <w:pStyle w:val="Heading2"/>
        <w:spacing w:after="180" w:before="280"/>
      </w:pPr>
      <w:r>
        <w:rPr>
          <w:rFonts w:ascii="Arial" w:cs="Arial" w:eastAsia="Arial" w:hAnsi="Arial"/>
        </w:rPr>
        <w:t xml:space="preserve">9.3 Execution Guardrails</w:t>
      </w:r>
    </w:p>
    <w:p>
      <w:pPr>
        <w:spacing w:after="160" w:before="0" w:line="276"/>
      </w:pPr>
      <w:r>
        <w:rPr>
          <w:rFonts w:ascii="Arial" w:cs="Arial" w:eastAsia="Arial" w:hAnsi="Arial"/>
          <w:sz w:val="22"/>
          <w:szCs w:val="22"/>
        </w:rPr>
        <w:t xml:space="preserve">No changes needed. The guardrails module (guardrails.ts) enforces execution boundary rules regardless of which provider supplies the data. The policy engine’s education_only mode and the grounding rules (“NEVER invent prices”) apply identically to Twelve Data–sourced prices.</w:t>
      </w:r>
    </w:p>
    <w:p>
      <w:r>
        <w:br w:type="page"/>
      </w:r>
    </w:p>
    <w:p>
      <w:pPr>
        <w:pStyle w:val="Heading1"/>
        <w:spacing w:after="200" w:before="380"/>
      </w:pPr>
      <w:r>
        <w:rPr>
          <w:rFonts w:ascii="Arial" w:cs="Arial" w:eastAsia="Arial" w:hAnsi="Arial"/>
        </w:rPr>
        <w:t xml:space="preserve">10. Observability &amp; Diagnostics</w:t>
      </w:r>
    </w:p>
    <w:p>
      <w:pPr>
        <w:pStyle w:val="Heading2"/>
        <w:spacing w:after="180" w:before="280"/>
      </w:pPr>
      <w:r>
        <w:rPr>
          <w:rFonts w:ascii="Arial" w:cs="Arial" w:eastAsia="Arial" w:hAnsi="Arial"/>
        </w:rPr>
        <w:t xml:space="preserve">10.1 Automatic Infrastructure (No Code Needed)</w:t>
      </w:r>
    </w:p>
    <w:p>
      <w:pPr>
        <w:spacing w:after="160" w:before="0" w:line="276"/>
      </w:pPr>
      <w:r>
        <w:rPr>
          <w:rFonts w:ascii="Arial" w:cs="Arial" w:eastAsia="Arial" w:hAnsi="Arial"/>
          <w:sz w:val="22"/>
          <w:szCs w:val="22"/>
        </w:rPr>
        <w:t xml:space="preserve">By following the existing provider pattern, Twelve Data automatically gets:</w:t>
      </w:r>
    </w:p>
    <w:p>
      <w:pPr>
        <w:pStyle w:val="ListParagraph"/>
        <w:numPr>
          <w:ilvl w:val="0"/>
          <w:numId w:val="3"/>
        </w:numPr>
        <w:spacing w:after="100"/>
      </w:pPr>
      <w:r>
        <w:rPr>
          <w:rFonts w:ascii="Arial" w:cs="Arial" w:eastAsia="Arial" w:hAnsi="Arial"/>
          <w:sz w:val="22"/>
          <w:szCs w:val="22"/>
        </w:rPr>
        <w:t xml:space="preserve">Sliding-window health tracking via recordProviderSuccess/recordProviderFailure</w:t>
      </w:r>
    </w:p>
    <w:p>
      <w:pPr>
        <w:pStyle w:val="ListParagraph"/>
        <w:numPr>
          <w:ilvl w:val="0"/>
          <w:numId w:val="3"/>
        </w:numPr>
        <w:spacing w:after="100"/>
      </w:pPr>
      <w:r>
        <w:rPr>
          <w:rFonts w:ascii="Arial" w:cs="Arial" w:eastAsia="Arial" w:hAnsi="Arial"/>
          <w:sz w:val="22"/>
          <w:szCs w:val="22"/>
        </w:rPr>
        <w:t xml:space="preserve">Fallback event persistence to provider_fallback_events table</w:t>
      </w:r>
    </w:p>
    <w:p>
      <w:pPr>
        <w:pStyle w:val="ListParagraph"/>
        <w:numPr>
          <w:ilvl w:val="0"/>
          <w:numId w:val="3"/>
        </w:numPr>
        <w:spacing w:after="100"/>
      </w:pPr>
      <w:r>
        <w:rPr>
          <w:rFonts w:ascii="Arial" w:cs="Arial" w:eastAsia="Arial" w:hAnsi="Arial"/>
          <w:sz w:val="22"/>
          <w:szCs w:val="22"/>
        </w:rPr>
        <w:t xml:space="preserve">Exposure on GET /api/providers/status endpoint</w:t>
      </w:r>
    </w:p>
    <w:p>
      <w:pPr>
        <w:pStyle w:val="ListParagraph"/>
        <w:numPr>
          <w:ilvl w:val="0"/>
          <w:numId w:val="3"/>
        </w:numPr>
        <w:spacing w:after="100"/>
      </w:pPr>
      <w:r>
        <w:rPr>
          <w:rFonts w:ascii="Arial" w:cs="Arial" w:eastAsia="Arial" w:hAnsi="Arial"/>
          <w:sz w:val="22"/>
          <w:szCs w:val="22"/>
        </w:rPr>
        <w:t xml:space="preserve">Cache hit/miss stats appended to every toolOk response</w:t>
      </w:r>
    </w:p>
    <w:p>
      <w:pPr>
        <w:pStyle w:val="ListParagraph"/>
        <w:numPr>
          <w:ilvl w:val="0"/>
          <w:numId w:val="3"/>
        </w:numPr>
        <w:spacing w:after="100"/>
      </w:pPr>
      <w:r>
        <w:rPr>
          <w:rFonts w:ascii="Arial" w:cs="Arial" w:eastAsia="Arial" w:hAnsi="Arial"/>
          <w:sz w:val="22"/>
          <w:szCs w:val="22"/>
        </w:rPr>
        <w:t xml:space="preserve">Agent traces (prompt/completion tokens, latency) via agent_traces table</w:t>
      </w:r>
    </w:p>
    <w:p>
      <w:pPr>
        <w:pStyle w:val="Heading2"/>
        <w:spacing w:after="180" w:before="280"/>
      </w:pPr>
      <w:r>
        <w:rPr>
          <w:rFonts w:ascii="Arial" w:cs="Arial" w:eastAsia="Arial" w:hAnsi="Arial"/>
        </w:rPr>
        <w:t xml:space="preserve">10.2 New Instrumentation</w:t>
      </w:r>
    </w:p>
    <w:p>
      <w:pPr>
        <w:spacing w:after="160" w:before="0" w:line="276"/>
      </w:pPr>
      <w:r>
        <w:rPr>
          <w:rFonts w:ascii="Arial" w:cs="Arial" w:eastAsia="Arial" w:hAnsi="Arial"/>
          <w:sz w:val="22"/>
          <w:szCs w:val="22"/>
        </w:rPr>
        <w:t xml:space="preserve">Three additions specific to the Twelve Data integration:</w:t>
      </w:r>
    </w:p>
    <w:p>
      <w:pPr>
        <w:spacing w:after="160" w:before="0" w:line="276"/>
      </w:pPr>
      <w:r>
        <w:rPr>
          <w:rFonts w:ascii="Arial" w:cs="Arial" w:eastAsia="Arial" w:hAnsi="Arial"/>
          <w:b/>
          <w:bCs/>
          <w:sz w:val="22"/>
          <w:szCs w:val="22"/>
        </w:rPr>
        <w:t xml:space="preserve">Symbol resolution audit log: </w:t>
      </w:r>
      <w:r>
        <w:rPr>
          <w:rFonts w:ascii="Arial" w:cs="Arial" w:eastAsia="Arial" w:hAnsi="Arial"/>
          <w:sz w:val="22"/>
          <w:szCs w:val="22"/>
        </w:rPr>
        <w:t xml:space="preserve">Every call to resolveSymbol logs the resolution path:</w:t>
      </w:r>
    </w:p>
    <w:p>
      <w:pPr>
        <w:pBdr>
          <w:left w:val="single" w:color="1B4F72" w:sz="6" w:space="4"/>
        </w:pBdr>
        <w:shd w:fill="F8F9FA" w:val="clear"/>
        <w:spacing w:after="40" w:before="40"/>
        <w:ind w:left="360"/>
      </w:pPr>
      <w:r>
        <w:rPr>
          <w:rFonts w:ascii="Courier New" w:cs="Courier New" w:eastAsia="Courier New" w:hAnsi="Courier New"/>
          <w:color w:val="2C3E50"/>
          <w:sz w:val="17"/>
          <w:szCs w:val="17"/>
        </w:rPr>
        <w:t xml:space="preserve">[symbolNormalizer] EMAAR → EMAAR:DFM (source: db_lookup, cached: false)</w:t>
      </w:r>
    </w:p>
    <w:p>
      <w:pPr>
        <w:pBdr>
          <w:left w:val="single" w:color="1B4F72" w:sz="6" w:space="4"/>
        </w:pBdr>
        <w:shd w:fill="F8F9FA" w:val="clear"/>
        <w:spacing w:after="40" w:before="40"/>
        <w:ind w:left="360"/>
      </w:pPr>
      <w:r>
        <w:rPr>
          <w:rFonts w:ascii="Courier New" w:cs="Courier New" w:eastAsia="Courier New" w:hAnsi="Courier New"/>
          <w:color w:val="2C3E50"/>
          <w:sz w:val="17"/>
          <w:szCs w:val="17"/>
        </w:rPr>
        <w:t xml:space="preserve">[symbolNormalizer] ARAMCO → 2222:TADAWUL (source: override, cached: true)</w:t>
      </w:r>
    </w:p>
    <w:p>
      <w:pPr>
        <w:pBdr>
          <w:left w:val="single" w:color="1B4F72" w:sz="6" w:space="4"/>
        </w:pBdr>
        <w:shd w:fill="F8F9FA" w:val="clear"/>
        <w:spacing w:after="40" w:before="40"/>
        <w:ind w:left="360"/>
      </w:pPr>
      <w:r>
        <w:rPr>
          <w:rFonts w:ascii="Courier New" w:cs="Courier New" w:eastAsia="Courier New" w:hAnsi="Courier New"/>
          <w:color w:val="2C3E50"/>
          <w:sz w:val="17"/>
          <w:szCs w:val="17"/>
        </w:rPr>
        <w:t xml:space="preserve">[symbolNormalizer] AAPL → AAPL (source: passthrough, cached: true)</w:t>
      </w:r>
    </w:p>
    <w:p>
      <w:pPr>
        <w:spacing w:after="160" w:before="0" w:line="276"/>
      </w:pPr>
      <w:r>
        <w:rPr>
          <w:rFonts w:ascii="Arial" w:cs="Arial" w:eastAsia="Arial" w:hAnsi="Arial"/>
          <w:sz w:val="22"/>
          <w:szCs w:val="22"/>
        </w:rPr>
        <w:t xml:space="preserve">These are console.info level and captured by Replit’s log viewer. They are the single most valuable diagnostic for symbol resolution issues.</w:t>
      </w:r>
    </w:p>
    <w:p>
      <w:pPr>
        <w:spacing w:after="160" w:before="0" w:line="276"/>
      </w:pPr>
      <w:r>
        <w:rPr>
          <w:rFonts w:ascii="Arial" w:cs="Arial" w:eastAsia="Arial" w:hAnsi="Arial"/>
          <w:b/>
          <w:bCs/>
          <w:sz w:val="22"/>
          <w:szCs w:val="22"/>
        </w:rPr>
        <w:t xml:space="preserve">Provider symbol in tool result: </w:t>
      </w:r>
      <w:r>
        <w:rPr>
          <w:rFonts w:ascii="Arial" w:cs="Arial" w:eastAsia="Arial" w:hAnsi="Arial"/>
          <w:sz w:val="22"/>
          <w:szCs w:val="22"/>
        </w:rPr>
        <w:t xml:space="preserve">The provider_symbol field on MarketQuote persists the resolved Twelve Data address alongside the quote. When a user reports “Emaar shows wrong data,” you can check the quote’s provider_symbol to see exactly what was sent upstream.</w:t>
      </w:r>
    </w:p>
    <w:p>
      <w:pPr>
        <w:spacing w:after="160" w:before="0" w:line="276"/>
      </w:pPr>
      <w:r>
        <w:rPr>
          <w:rFonts w:ascii="Arial" w:cs="Arial" w:eastAsia="Arial" w:hAnsi="Arial"/>
          <w:b/>
          <w:bCs/>
          <w:sz w:val="22"/>
          <w:szCs w:val="22"/>
        </w:rPr>
        <w:t xml:space="preserve">Upstream credit tracking: </w:t>
      </w:r>
      <w:r>
        <w:rPr>
          <w:rFonts w:ascii="Arial" w:cs="Arial" w:eastAsia="Arial" w:hAnsi="Arial"/>
          <w:sz w:val="22"/>
          <w:szCs w:val="22"/>
        </w:rPr>
        <w:t xml:space="preserve">A simple counter per endpoint (quotes, history, profile, earnings) logged at info level every 100 calls. Not essential for demo, but useful for monitoring Grow plan credit consumption.</w:t>
      </w:r>
    </w:p>
    <w:p>
      <w:r>
        <w:br w:type="page"/>
      </w:r>
    </w:p>
    <w:p>
      <w:pPr>
        <w:pStyle w:val="Heading1"/>
        <w:spacing w:after="200" w:before="380"/>
      </w:pPr>
      <w:r>
        <w:rPr>
          <w:rFonts w:ascii="Arial" w:cs="Arial" w:eastAsia="Arial" w:hAnsi="Arial"/>
        </w:rPr>
        <w:t xml:space="preserve">11. Phased Implementation Plan</w:t>
      </w:r>
    </w:p>
    <w:p>
      <w:pPr>
        <w:pStyle w:val="Heading2"/>
        <w:spacing w:after="180" w:before="280"/>
      </w:pPr>
      <w:r>
        <w:rPr>
          <w:rFonts w:ascii="Arial" w:cs="Arial" w:eastAsia="Arial" w:hAnsi="Arial"/>
        </w:rPr>
        <w:t xml:space="preserve">11.1 Pre-Implementation: API Verification (30 Minutes)</w:t>
      </w:r>
    </w:p>
    <w:p>
      <w:pPr>
        <w:pBdr>
          <w:left w:val="single" w:color="1B4F72" w:sz="8" w:space="6"/>
        </w:pBdr>
        <w:shd w:fill="ECF0F1" w:val="clear"/>
        <w:spacing w:after="160" w:before="120" w:line="300"/>
        <w:ind w:left="360" w:right="360"/>
      </w:pPr>
      <w:r>
        <w:rPr>
          <w:rFonts w:ascii="Arial" w:cs="Arial" w:eastAsia="Arial" w:hAnsi="Arial"/>
          <w:i/>
          <w:iCs/>
          <w:color w:val="555555"/>
          <w:sz w:val="20"/>
          <w:szCs w:val="20"/>
        </w:rPr>
        <w:t xml:space="preserve">Before writing any code, verify that Twelve Data returns data for each of the 5 GCC instruments in Ada’s seed database. Run these manual API calls with the Grow plan key:</w:t>
      </w:r>
    </w:p>
    <w:p>
      <w:pPr>
        <w:pBdr>
          <w:left w:val="single" w:color="1B4F72" w:sz="6" w:space="4"/>
        </w:pBdr>
        <w:shd w:fill="F8F9FA" w:val="clear"/>
        <w:spacing w:after="40" w:before="40"/>
        <w:ind w:left="360"/>
      </w:pPr>
      <w:r>
        <w:rPr>
          <w:rFonts w:ascii="Courier New" w:cs="Courier New" w:eastAsia="Courier New" w:hAnsi="Courier New"/>
          <w:color w:val="2C3E50"/>
          <w:sz w:val="17"/>
          <w:szCs w:val="17"/>
        </w:rPr>
        <w:t xml:space="preserve">curl 'https://api.twelvedata.com/quote?symbol=EMAAR:DFM&amp;apikey=YOUR_KEY'</w:t>
      </w:r>
    </w:p>
    <w:p>
      <w:pPr>
        <w:pBdr>
          <w:left w:val="single" w:color="1B4F72" w:sz="6" w:space="4"/>
        </w:pBdr>
        <w:shd w:fill="F8F9FA" w:val="clear"/>
        <w:spacing w:after="40" w:before="40"/>
        <w:ind w:left="360"/>
      </w:pPr>
      <w:r>
        <w:rPr>
          <w:rFonts w:ascii="Courier New" w:cs="Courier New" w:eastAsia="Courier New" w:hAnsi="Courier New"/>
          <w:color w:val="2C3E50"/>
          <w:sz w:val="17"/>
          <w:szCs w:val="17"/>
        </w:rPr>
        <w:t xml:space="preserve">curl 'https://api.twelvedata.com/quote?symbol=FAB:ADX&amp;apikey=YOUR_KEY'</w:t>
      </w:r>
    </w:p>
    <w:p>
      <w:pPr>
        <w:pBdr>
          <w:left w:val="single" w:color="1B4F72" w:sz="6" w:space="4"/>
        </w:pBdr>
        <w:shd w:fill="F8F9FA" w:val="clear"/>
        <w:spacing w:after="40" w:before="40"/>
        <w:ind w:left="360"/>
      </w:pPr>
      <w:r>
        <w:rPr>
          <w:rFonts w:ascii="Courier New" w:cs="Courier New" w:eastAsia="Courier New" w:hAnsi="Courier New"/>
          <w:color w:val="2C3E50"/>
          <w:sz w:val="17"/>
          <w:szCs w:val="17"/>
        </w:rPr>
        <w:t xml:space="preserve">curl 'https://api.twelvedata.com/quote?symbol=ADNOCDIST:ADX&amp;apikey=YOUR_KEY'</w:t>
      </w:r>
    </w:p>
    <w:p>
      <w:pPr>
        <w:pBdr>
          <w:left w:val="single" w:color="1B4F72" w:sz="6" w:space="4"/>
        </w:pBdr>
        <w:shd w:fill="F8F9FA" w:val="clear"/>
        <w:spacing w:after="40" w:before="40"/>
        <w:ind w:left="360"/>
      </w:pPr>
      <w:r>
        <w:rPr>
          <w:rFonts w:ascii="Courier New" w:cs="Courier New" w:eastAsia="Courier New" w:hAnsi="Courier New"/>
          <w:color w:val="2C3E50"/>
          <w:sz w:val="17"/>
          <w:szCs w:val="17"/>
        </w:rPr>
        <w:t xml:space="preserve">curl 'https://api.twelvedata.com/quote?symbol=2222:TADAWUL&amp;apikey=YOUR_KEY'</w:t>
      </w:r>
    </w:p>
    <w:p>
      <w:pPr>
        <w:pBdr>
          <w:left w:val="single" w:color="1B4F72" w:sz="6" w:space="4"/>
        </w:pBdr>
        <w:shd w:fill="F8F9FA" w:val="clear"/>
        <w:spacing w:after="40" w:before="40"/>
        <w:ind w:left="360"/>
      </w:pPr>
      <w:r>
        <w:rPr>
          <w:rFonts w:ascii="Courier New" w:cs="Courier New" w:eastAsia="Courier New" w:hAnsi="Courier New"/>
          <w:color w:val="2C3E50"/>
          <w:sz w:val="17"/>
          <w:szCs w:val="17"/>
        </w:rPr>
        <w:t xml:space="preserve">curl 'https://api.twelvedata.com/quote?symbol=STC:TADAWUL&amp;apikey=YOUR_KEY'</w:t>
      </w:r>
    </w:p>
    <w:p>
      <w:pPr>
        <w:spacing w:after="160" w:before="0" w:line="276"/>
      </w:pPr>
      <w:r>
        <w:rPr>
          <w:rFonts w:ascii="Arial" w:cs="Arial" w:eastAsia="Arial" w:hAnsi="Arial"/>
          <w:sz w:val="22"/>
          <w:szCs w:val="22"/>
        </w:rPr>
        <w:t xml:space="preserve">If any symbol fails, check Twelve Data’s symbol search endpoint to find the correct format:</w:t>
      </w:r>
    </w:p>
    <w:p>
      <w:pPr>
        <w:pBdr>
          <w:left w:val="single" w:color="1B4F72" w:sz="6" w:space="4"/>
        </w:pBdr>
        <w:shd w:fill="F8F9FA" w:val="clear"/>
        <w:spacing w:after="40" w:before="40"/>
        <w:ind w:left="360"/>
      </w:pPr>
      <w:r>
        <w:rPr>
          <w:rFonts w:ascii="Courier New" w:cs="Courier New" w:eastAsia="Courier New" w:hAnsi="Courier New"/>
          <w:color w:val="2C3E50"/>
          <w:sz w:val="17"/>
          <w:szCs w:val="17"/>
        </w:rPr>
        <w:t xml:space="preserve">curl 'https://api.twelvedata.com/symbol_search?symbol=EMAAR&amp;apikey=YOUR_KEY'</w:t>
      </w:r>
    </w:p>
    <w:p>
      <w:pPr>
        <w:spacing w:after="160" w:before="0" w:line="276"/>
      </w:pPr>
      <w:r>
        <w:rPr>
          <w:rFonts w:ascii="Arial" w:cs="Arial" w:eastAsia="Arial" w:hAnsi="Arial"/>
          <w:sz w:val="22"/>
          <w:szCs w:val="22"/>
        </w:rPr>
        <w:t xml:space="preserve">Record the exact working symbol format for each instrument. If any requires a different ticker than expected (e.g., ADNOCDIST might be listed as ADNOCDIST or ADNOC-DIST), add it to TICKER_OVERRIDES.</w:t>
      </w:r>
    </w:p>
    <w:p>
      <w:pPr>
        <w:spacing w:after="80" w:before="80"/>
      </w:pPr>
    </w:p>
    <w:p>
      <w:pPr>
        <w:pStyle w:val="Heading2"/>
        <w:spacing w:after="180" w:before="280"/>
      </w:pPr>
      <w:r>
        <w:rPr>
          <w:rFonts w:ascii="Arial" w:cs="Arial" w:eastAsia="Arial" w:hAnsi="Arial"/>
        </w:rPr>
        <w:t xml:space="preserve">11.2 Phase 1 — Core Integration (3–4 Hours)</w:t>
      </w:r>
    </w:p>
    <w:p>
      <w:pPr>
        <w:spacing w:after="160" w:before="0" w:line="276"/>
      </w:pPr>
      <w:r>
        <w:rPr>
          <w:rFonts w:ascii="Arial" w:cs="Arial" w:eastAsia="Arial" w:hAnsi="Arial"/>
          <w:b/>
          <w:bCs/>
          <w:i/>
          <w:iCs/>
          <w:sz w:val="22"/>
          <w:szCs w:val="22"/>
        </w:rPr>
        <w:t xml:space="preserve">Goal: </w:t>
      </w:r>
      <w:r>
        <w:rPr>
          <w:rFonts w:ascii="Arial" w:cs="Arial" w:eastAsia="Arial" w:hAnsi="Arial"/>
          <w:sz w:val="22"/>
          <w:szCs w:val="22"/>
        </w:rPr>
        <w:t xml:space="preserve">Live Emaar quote in chat. “What’s the price of Emaar?” returns real AED price from Twelve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360"/>
        <w:gridCol w:w="2800"/>
        <w:gridCol w:w="800"/>
      </w:tblGrid>
      <w:tr>
        <w:trPr>
          <w:tblHeader/>
        </w:trPr>
        <w:tc>
          <w:tcPr>
            <w:tcW w:type="dxa" w:w="4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19"/>
                <w:szCs w:val="19"/>
              </w:rPr>
              <w:t xml:space="preserve">#</w:t>
            </w:r>
          </w:p>
        </w:tc>
        <w:tc>
          <w:tcPr>
            <w:tcW w:type="dxa" w:w="53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19"/>
                <w:szCs w:val="19"/>
              </w:rPr>
              <w:t xml:space="preserve">Task</w:t>
            </w:r>
          </w:p>
        </w:tc>
        <w:tc>
          <w:tcPr>
            <w:tcW w:type="dxa" w:w="2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19"/>
                <w:szCs w:val="19"/>
              </w:rPr>
              <w:t xml:space="preserve">File</w:t>
            </w:r>
          </w:p>
        </w:tc>
        <w:tc>
          <w:tcPr>
            <w:tcW w:type="dxa" w:w="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19"/>
                <w:szCs w:val="19"/>
              </w:rPr>
              <w:t xml:space="preserve">Est.</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1</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Create symbolNormalizer.ts with ResolvedSymbol type, resolveSymbol(), resolveSymbols(), denormalizeSymbol(), static exchange map, ticker overrides, DB fallback, audit logging</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server/providers/symbolNormalizer.ts (NEW)</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45m</w:t>
            </w:r>
          </w:p>
        </w:tc>
      </w:tr>
      <w:tr>
        <w:tc>
          <w:tcPr>
            <w:tcW w:type="dxa" w:w="4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2</w:t>
            </w:r>
          </w:p>
        </w:tc>
        <w:tc>
          <w:tcPr>
            <w:tcW w:type="dxa" w:w="53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Create twelveData.ts provider: getQuotes with batch optimization, symbol normalization, MarketQuote mapping with display_symbol / provider_symbol / is_delayed</w:t>
            </w:r>
          </w:p>
        </w:tc>
        <w:tc>
          <w:tcPr>
            <w:tcW w:type="dxa" w:w="28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server/providers/twelveData.ts (NEW)</w:t>
            </w:r>
          </w:p>
        </w:tc>
        <w:tc>
          <w:tcPr>
            <w:tcW w:type="dxa" w:w="8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90m</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3</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Add twelve_data case to resolveMarketProvider()</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server/providers/registry.ts</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5m</w:t>
            </w:r>
          </w:p>
        </w:tc>
      </w:tr>
      <w:tr>
        <w:tc>
          <w:tcPr>
            <w:tcW w:type="dxa" w:w="4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4</w:t>
            </w:r>
          </w:p>
        </w:tc>
        <w:tc>
          <w:tcPr>
            <w:tcW w:type="dxa" w:w="53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Set TWELVE_DATA_API_KEY, MARKET_PROVIDER_PRIMARY=twelve_data, MARKET_PROVIDER_SECONDARY=finnhub, TWELVE_DATA_RATE_LIMIT=55, TWELVE_DATA_IS_REALTIME=false</w:t>
            </w:r>
          </w:p>
        </w:tc>
        <w:tc>
          <w:tcPr>
            <w:tcW w:type="dxa" w:w="28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Replit Secrets</w:t>
            </w:r>
          </w:p>
        </w:tc>
        <w:tc>
          <w:tcPr>
            <w:tcW w:type="dxa" w:w="8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5m</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5</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Update getQuotes tool description with GCC examples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server/services/toolRegistry.ts</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10m</w:t>
            </w:r>
          </w:p>
        </w:tc>
      </w:tr>
      <w:tr>
        <w:tc>
          <w:tcPr>
            <w:tcW w:type="dxa" w:w="4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6</w:t>
            </w:r>
          </w:p>
        </w:tc>
        <w:tc>
          <w:tcPr>
            <w:tcW w:type="dxa" w:w="53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Update prompt builder tool guide text</w:t>
            </w:r>
          </w:p>
        </w:tc>
        <w:tc>
          <w:tcPr>
            <w:tcW w:type="dxa" w:w="28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server/services/promptBuilder.ts</w:t>
            </w:r>
          </w:p>
        </w:tc>
        <w:tc>
          <w:tcPr>
            <w:tcW w:type="dxa" w:w="8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10m</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7</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Verify: ask Ada “What’s the price of Emaar?” in chat → live AED price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Manual test</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15m</w:t>
            </w:r>
          </w:p>
        </w:tc>
      </w:tr>
    </w:tbl>
    <w:p>
      <w:pPr>
        <w:pStyle w:val="Heading2"/>
        <w:spacing w:after="180" w:before="280"/>
      </w:pPr>
      <w:r>
        <w:rPr>
          <w:rFonts w:ascii="Arial" w:cs="Arial" w:eastAsia="Arial" w:hAnsi="Arial"/>
        </w:rPr>
        <w:t xml:space="preserve">11.3 Phase 2 — Full Provider Coverage (4–6 Hours)</w:t>
      </w:r>
    </w:p>
    <w:p>
      <w:pPr>
        <w:spacing w:after="160" w:before="0" w:line="276"/>
      </w:pPr>
      <w:r>
        <w:rPr>
          <w:rFonts w:ascii="Arial" w:cs="Arial" w:eastAsia="Arial" w:hAnsi="Arial"/>
          <w:b/>
          <w:bCs/>
          <w:i/>
          <w:iCs/>
          <w:sz w:val="22"/>
          <w:szCs w:val="22"/>
        </w:rPr>
        <w:t xml:space="preserve">Goal: </w:t>
      </w:r>
      <w:r>
        <w:rPr>
          <w:rFonts w:ascii="Arial" w:cs="Arial" w:eastAsia="Arial" w:hAnsi="Arial"/>
          <w:sz w:val="22"/>
          <w:szCs w:val="22"/>
        </w:rPr>
        <w:t xml:space="preserve">All 4 MarketProvider methods live. Currency display verified. Attribution in place.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360"/>
        <w:gridCol w:w="2800"/>
        <w:gridCol w:w="800"/>
      </w:tblGrid>
      <w:tr>
        <w:trPr>
          <w:tblHeader/>
        </w:trPr>
        <w:tc>
          <w:tcPr>
            <w:tcW w:type="dxa" w:w="4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19"/>
                <w:szCs w:val="19"/>
              </w:rPr>
              <w:t xml:space="preserve">#</w:t>
            </w:r>
          </w:p>
        </w:tc>
        <w:tc>
          <w:tcPr>
            <w:tcW w:type="dxa" w:w="53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19"/>
                <w:szCs w:val="19"/>
              </w:rPr>
              <w:t xml:space="preserve">Task</w:t>
            </w:r>
          </w:p>
        </w:tc>
        <w:tc>
          <w:tcPr>
            <w:tcW w:type="dxa" w:w="2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19"/>
                <w:szCs w:val="19"/>
              </w:rPr>
              <w:t xml:space="preserve">File</w:t>
            </w:r>
          </w:p>
        </w:tc>
        <w:tc>
          <w:tcPr>
            <w:tcW w:type="dxa" w:w="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19"/>
                <w:szCs w:val="19"/>
              </w:rPr>
              <w:t xml:space="preserve">Est.</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8</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Implement getHistoricalPrices via /time_series (single symbol, separate exchange param)</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server/providers/twelveData.ts</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90m</w:t>
            </w:r>
          </w:p>
        </w:tc>
      </w:tr>
      <w:tr>
        <w:tc>
          <w:tcPr>
            <w:tcW w:type="dxa" w:w="4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9</w:t>
            </w:r>
          </w:p>
        </w:tc>
        <w:tc>
          <w:tcPr>
            <w:tcW w:type="dxa" w:w="53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Implement getCompanyProfile via /profile (single symbol, separate exchange param)</w:t>
            </w:r>
          </w:p>
        </w:tc>
        <w:tc>
          <w:tcPr>
            <w:tcW w:type="dxa" w:w="28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server/providers/twelveData.ts</w:t>
            </w:r>
          </w:p>
        </w:tc>
        <w:tc>
          <w:tcPr>
            <w:tcW w:type="dxa" w:w="8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60m</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10</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Implement getEarningsCalendar via /earnings_calendar</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server/providers/twelveData.ts</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45m</w:t>
            </w:r>
          </w:p>
        </w:tc>
      </w:tr>
      <w:tr>
        <w:tc>
          <w:tcPr>
            <w:tcW w:type="dxa" w:w="4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11</w:t>
            </w:r>
          </w:p>
        </w:tc>
        <w:tc>
          <w:tcPr>
            <w:tcW w:type="dxa" w:w="53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Add AED/SAR currency formatter to chat widgets</w:t>
            </w:r>
          </w:p>
        </w:tc>
        <w:tc>
          <w:tcPr>
            <w:tcW w:type="dxa" w:w="28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src/components/ada/ChatWidgets.tsx</w:t>
            </w:r>
          </w:p>
        </w:tc>
        <w:tc>
          <w:tcPr>
            <w:tcW w:type="dxa" w:w="8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30m</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12</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Add “Powered by Twelve Data” attribution in response builder</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server/services/responseBuilder.ts</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15m</w:t>
            </w:r>
          </w:p>
        </w:tc>
      </w:tr>
      <w:tr>
        <w:tc>
          <w:tcPr>
            <w:tcW w:type="dxa" w:w="4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13</w:t>
            </w:r>
          </w:p>
        </w:tc>
        <w:tc>
          <w:tcPr>
            <w:tcW w:type="dxa" w:w="53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Add “delayed” guidance to system prompt when is_delayed is true</w:t>
            </w:r>
          </w:p>
        </w:tc>
        <w:tc>
          <w:tcPr>
            <w:tcW w:type="dxa" w:w="28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server/services/promptBuilder.ts</w:t>
            </w:r>
          </w:p>
        </w:tc>
        <w:tc>
          <w:tcPr>
            <w:tcW w:type="dxa" w:w="8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10m</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14</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Test all 5 GCC instruments + 3 US instruments end-to-end in chat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Manual test</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45m</w:t>
            </w:r>
          </w:p>
        </w:tc>
      </w:tr>
    </w:tbl>
    <w:p>
      <w:pPr>
        <w:pStyle w:val="Heading2"/>
        <w:spacing w:after="180" w:before="280"/>
      </w:pPr>
      <w:r>
        <w:rPr>
          <w:rFonts w:ascii="Arial" w:cs="Arial" w:eastAsia="Arial" w:hAnsi="Arial"/>
        </w:rPr>
        <w:t xml:space="preserve">11.4 Phase 3 — Pipeline &amp; Polish (3–4 Hours)</w:t>
      </w:r>
    </w:p>
    <w:p>
      <w:pPr>
        <w:spacing w:after="160" w:before="0" w:line="276"/>
      </w:pPr>
      <w:r>
        <w:rPr>
          <w:rFonts w:ascii="Arial" w:cs="Arial" w:eastAsia="Arial" w:hAnsi="Arial"/>
          <w:b/>
          <w:bCs/>
          <w:i/>
          <w:iCs/>
          <w:sz w:val="22"/>
          <w:szCs w:val="22"/>
        </w:rPr>
        <w:t xml:space="preserve">Goal: </w:t>
      </w:r>
      <w:r>
        <w:rPr>
          <w:rFonts w:ascii="Arial" w:cs="Arial" w:eastAsia="Arial" w:hAnsi="Arial"/>
          <w:sz w:val="22"/>
          <w:szCs w:val="22"/>
        </w:rPr>
        <w:t xml:space="preserve">Discover tab and Morning Sentinel use live GCC data. Observability in place.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360"/>
        <w:gridCol w:w="2800"/>
        <w:gridCol w:w="800"/>
      </w:tblGrid>
      <w:tr>
        <w:trPr>
          <w:tblHeader/>
        </w:trPr>
        <w:tc>
          <w:tcPr>
            <w:tcW w:type="dxa" w:w="4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19"/>
                <w:szCs w:val="19"/>
              </w:rPr>
              <w:t xml:space="preserve">#</w:t>
            </w:r>
          </w:p>
        </w:tc>
        <w:tc>
          <w:tcPr>
            <w:tcW w:type="dxa" w:w="53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19"/>
                <w:szCs w:val="19"/>
              </w:rPr>
              <w:t xml:space="preserve">Task</w:t>
            </w:r>
          </w:p>
        </w:tc>
        <w:tc>
          <w:tcPr>
            <w:tcW w:type="dxa" w:w="2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19"/>
                <w:szCs w:val="19"/>
              </w:rPr>
              <w:t xml:space="preserve">File</w:t>
            </w:r>
          </w:p>
        </w:tc>
        <w:tc>
          <w:tcPr>
            <w:tcW w:type="dxa" w:w="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19"/>
                <w:szCs w:val="19"/>
              </w:rPr>
              <w:t xml:space="preserve">Est.</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15</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Wire Discover pipeline ingest worker to query GCC prices for price-movement cards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server/services/discoverPipeline/</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90m</w:t>
            </w:r>
          </w:p>
        </w:tc>
      </w:tr>
      <w:tr>
        <w:tc>
          <w:tcPr>
            <w:tcW w:type="dxa" w:w="4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16</w:t>
            </w:r>
          </w:p>
        </w:tc>
        <w:tc>
          <w:tcPr>
            <w:tcW w:type="dxa" w:w="53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Verify Morning Sentinel includes GCC overnight moves in briefing</w:t>
            </w:r>
          </w:p>
        </w:tc>
        <w:tc>
          <w:tcPr>
            <w:tcW w:type="dxa" w:w="28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server/services/morningSentinelService.ts</w:t>
            </w:r>
          </w:p>
        </w:tc>
        <w:tc>
          <w:tcPr>
            <w:tcW w:type="dxa" w:w="8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30m</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17</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Add Twelve Data to /api/providers/status health endpoint (automatic if using helpers.ts)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server/routes/api.ts</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15m</w:t>
            </w:r>
          </w:p>
        </w:tc>
      </w:tr>
      <w:tr>
        <w:tc>
          <w:tcPr>
            <w:tcW w:type="dxa" w:w="4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18</w:t>
            </w:r>
          </w:p>
        </w:tc>
        <w:tc>
          <w:tcPr>
            <w:tcW w:type="dxa" w:w="53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Load test: 10 concurrent GCC queries to validate rate limit and cache behavior</w:t>
            </w:r>
          </w:p>
        </w:tc>
        <w:tc>
          <w:tcPr>
            <w:tcW w:type="dxa" w:w="28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Manual / script</w:t>
            </w:r>
          </w:p>
        </w:tc>
        <w:tc>
          <w:tcPr>
            <w:tcW w:type="dxa" w:w="8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45m</w:t>
            </w:r>
          </w:p>
        </w:tc>
      </w:tr>
    </w:tbl>
    <w:p>
      <w:pPr>
        <w:pStyle w:val="Heading2"/>
        <w:spacing w:after="180" w:before="280"/>
      </w:pPr>
      <w:r>
        <w:rPr>
          <w:rFonts w:ascii="Arial" w:cs="Arial" w:eastAsia="Arial" w:hAnsi="Arial"/>
        </w:rPr>
        <w:t xml:space="preserve">11.5 Post-Demo Backlog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200"/>
        <w:gridCol w:w="4160"/>
      </w:tblGrid>
      <w:tr>
        <w:trPr>
          <w:tblHeader/>
        </w:trPr>
        <w:tc>
          <w:tcPr>
            <w:tcW w:type="dxa" w:w="4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19"/>
                <w:szCs w:val="19"/>
              </w:rPr>
              <w:t xml:space="preserve">Item</w:t>
            </w:r>
          </w:p>
        </w:tc>
        <w:tc>
          <w:tcPr>
            <w:tcW w:type="dxa" w:w="1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19"/>
                <w:szCs w:val="19"/>
              </w:rPr>
              <w:t xml:space="preserve">Priority</w:t>
            </w:r>
          </w:p>
        </w:tc>
        <w:tc>
          <w:tcPr>
            <w:tcW w:type="dxa" w:w="41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19"/>
                <w:szCs w:val="19"/>
              </w:rPr>
              <w:t xml:space="preserve">Trigger</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provider_symbols JSONB column on instruments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Low</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When override map exceeds ~10 entries</w:t>
            </w:r>
          </w:p>
        </w:tc>
      </w:tr>
      <w:tr>
        <w:tc>
          <w:tcPr>
            <w:tcW w:type="dxa" w:w="4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Upgrade to Pro plan for WebSocket real-time</w:t>
            </w:r>
          </w:p>
        </w:tc>
        <w:tc>
          <w:tcPr>
            <w:tcW w:type="dxa" w:w="1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Medium</w:t>
            </w:r>
          </w:p>
        </w:tc>
        <w:tc>
          <w:tcPr>
            <w:tcW w:type="dxa" w:w="41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When demo moves to live client sessions</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Symbol search integration (/symbol_search)</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Medium</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When users ask about companies by name, not ticker</w:t>
            </w:r>
          </w:p>
        </w:tc>
      </w:tr>
      <w:tr>
        <w:tc>
          <w:tcPr>
            <w:tcW w:type="dxa" w:w="4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Technical indicators in chat (/with_macd etc.)</w:t>
            </w:r>
          </w:p>
        </w:tc>
        <w:tc>
          <w:tcPr>
            <w:tcW w:type="dxa" w:w="1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Low</w:t>
            </w:r>
          </w:p>
        </w:tc>
        <w:tc>
          <w:tcPr>
            <w:tcW w:type="dxa" w:w="41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When power-user demo scenarios require charting</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Batch POST endpoint for mixed-endpoint queries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Low</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When Discover pipeline needs diverse data types</w:t>
            </w:r>
          </w:p>
        </w:tc>
      </w:tr>
      <w:tr>
        <w:tc>
          <w:tcPr>
            <w:tcW w:type="dxa" w:w="4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Geography-aware fallback routing</w:t>
            </w:r>
          </w:p>
        </w:tc>
        <w:tc>
          <w:tcPr>
            <w:tcW w:type="dxa" w:w="1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Low</w:t>
            </w:r>
          </w:p>
        </w:tc>
        <w:tc>
          <w:tcPr>
            <w:tcW w:type="dxa" w:w="41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Only if Twelve Data US latency becomes measurable</w:t>
            </w:r>
          </w:p>
        </w:tc>
      </w:tr>
    </w:tbl>
    <w:p>
      <w:r>
        <w:br w:type="page"/>
      </w:r>
    </w:p>
    <w:p>
      <w:pPr>
        <w:pStyle w:val="Heading1"/>
        <w:spacing w:after="200" w:before="380"/>
      </w:pPr>
      <w:r>
        <w:rPr>
          <w:rFonts w:ascii="Arial" w:cs="Arial" w:eastAsia="Arial" w:hAnsi="Arial"/>
        </w:rPr>
        <w:t xml:space="preserve">12.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
        <w:gridCol w:w="400"/>
        <w:gridCol w:w="6160"/>
      </w:tblGrid>
      <w:tr>
        <w:trPr>
          <w:tblHeader/>
        </w:trPr>
        <w:tc>
          <w:tcPr>
            <w:tcW w:type="dxa" w:w="24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19"/>
                <w:szCs w:val="19"/>
              </w:rPr>
              <w:t xml:space="preserve">Risk</w:t>
            </w:r>
          </w:p>
        </w:tc>
        <w:tc>
          <w:tcPr>
            <w:tcW w:type="dxa" w:w="4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19"/>
                <w:szCs w:val="19"/>
              </w:rPr>
              <w:t xml:space="preserve">L</w:t>
            </w:r>
          </w:p>
        </w:tc>
        <w:tc>
          <w:tcPr>
            <w:tcW w:type="dxa" w:w="4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19"/>
                <w:szCs w:val="19"/>
              </w:rPr>
              <w:t xml:space="preserve">I</w:t>
            </w:r>
          </w:p>
        </w:tc>
        <w:tc>
          <w:tcPr>
            <w:tcW w:type="dxa" w:w="61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19"/>
                <w:szCs w:val="19"/>
              </w:rPr>
              <w:t xml:space="preserve">Mitigation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Twelve Data does not cover a specific GCC instrument (e.g., ADNOCDIST)</w:t>
            </w:r>
          </w:p>
        </w:tc>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M</w:t>
            </w:r>
          </w:p>
        </w:tc>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M</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Pre-flight API verification (§11.1). If missing, keep mock data for that instrument and document it.</w:t>
            </w:r>
          </w:p>
        </w:tc>
      </w:tr>
      <w:tr>
        <w:tc>
          <w:tcPr>
            <w:tcW w:type="dxa" w:w="24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Twelve Data symbol format differs from SYMBOL:EXCHANGE</w:t>
            </w:r>
          </w:p>
        </w:tc>
        <w:tc>
          <w:tcPr>
            <w:tcW w:type="dxa" w:w="4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M</w:t>
            </w:r>
          </w:p>
        </w:tc>
        <w:tc>
          <w:tcPr>
            <w:tcW w:type="dxa" w:w="4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L</w:t>
            </w:r>
          </w:p>
        </w:tc>
        <w:tc>
          <w:tcPr>
            <w:tcW w:type="dxa" w:w="61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Pre-flight verification + symbol_search fallback. TICKER_OVERRIDES handles per-instrument corrections.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Rate limit exhaustion during active demo</w:t>
            </w:r>
          </w:p>
        </w:tc>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L</w:t>
            </w:r>
          </w:p>
        </w:tc>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M</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Batch requests + 120s cache TTL keeps usage at ~31% of Grow plan limit. Monitor via /api/providers/status.</w:t>
            </w:r>
          </w:p>
        </w:tc>
      </w:tr>
      <w:tr>
        <w:tc>
          <w:tcPr>
            <w:tcW w:type="dxa" w:w="24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Twelve Data API outage during demo</w:t>
            </w:r>
          </w:p>
        </w:tc>
        <w:tc>
          <w:tcPr>
            <w:tcW w:type="dxa" w:w="4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L</w:t>
            </w:r>
          </w:p>
        </w:tc>
        <w:tc>
          <w:tcPr>
            <w:tcW w:type="dxa" w:w="4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H</w:t>
            </w:r>
          </w:p>
        </w:tc>
        <w:tc>
          <w:tcPr>
            <w:tcW w:type="dxa" w:w="61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Fallback chain auto-routes to Finnhub/Yahoo for US equities. GCC instruments fall to mock data with fallback_chain warnings.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LLM still does not call getQuotes for GCC tickers after prompt update</w:t>
            </w:r>
          </w:p>
        </w:tc>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L</w:t>
            </w:r>
          </w:p>
        </w:tc>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M</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Updated tool descriptions with GCC examples. If it persists, add few-shot examples to system prompt showing GCC tool calls.</w:t>
            </w:r>
          </w:p>
        </w:tc>
      </w:tr>
      <w:tr>
        <w:tc>
          <w:tcPr>
            <w:tcW w:type="dxa" w:w="24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AED/SAR prices display incorrectly in chat widgets</w:t>
            </w:r>
          </w:p>
        </w:tc>
        <w:tc>
          <w:tcPr>
            <w:tcW w:type="dxa" w:w="4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L</w:t>
            </w:r>
          </w:p>
        </w:tc>
        <w:tc>
          <w:tcPr>
            <w:tcW w:type="dxa" w:w="4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L</w:t>
            </w:r>
          </w:p>
        </w:tc>
        <w:tc>
          <w:tcPr>
            <w:tcW w:type="dxa" w:w="61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Currency formatter is a simple lookup map. Test with each persona’s GCC holdings before demo.</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LLM says “current price” when data is 15-min delayed</w:t>
            </w:r>
          </w:p>
        </w:tc>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M</w:t>
            </w:r>
          </w:p>
        </w:tc>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L</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is_delayed flag on MarketQuote + system prompt guidance to say “delayed price.”</w:t>
            </w:r>
          </w:p>
        </w:tc>
      </w:tr>
      <w:tr>
        <w:tc>
          <w:tcPr>
            <w:tcW w:type="dxa" w:w="24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Twelve Data free plan used instead of Grow — GCC tickers fail silently</w:t>
            </w:r>
          </w:p>
        </w:tc>
        <w:tc>
          <w:tcPr>
            <w:tcW w:type="dxa" w:w="4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L</w:t>
            </w:r>
          </w:p>
        </w:tc>
        <w:tc>
          <w:tcPr>
            <w:tcW w:type="dxa" w:w="4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H</w:t>
            </w:r>
          </w:p>
        </w:tc>
        <w:tc>
          <w:tcPr>
            <w:tcW w:type="dxa" w:w="61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Documented requirement for Grow plan ($29/mo). Free tier returns trial-only data for international exchanges.</w:t>
            </w:r>
          </w:p>
        </w:tc>
      </w:tr>
    </w:tbl>
    <w:p>
      <w:r>
        <w:br w:type="page"/>
      </w:r>
    </w:p>
    <w:p>
      <w:pPr>
        <w:pStyle w:val="Heading1"/>
        <w:spacing w:after="200" w:before="380"/>
      </w:pPr>
      <w:r>
        <w:rPr>
          <w:rFonts w:ascii="Arial" w:cs="Arial" w:eastAsia="Arial" w:hAnsi="Arial"/>
        </w:rPr>
        <w:t xml:space="preserve">13. Environment Variable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2200"/>
        <w:gridCol w:w="2160"/>
      </w:tblGrid>
      <w:tr>
        <w:trPr>
          <w:tblHeader/>
        </w:trPr>
        <w:tc>
          <w:tcPr>
            <w:tcW w:type="dxa" w:w="26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19"/>
                <w:szCs w:val="19"/>
              </w:rPr>
              <w:t xml:space="preserve">Variable</w:t>
            </w:r>
          </w:p>
        </w:tc>
        <w:tc>
          <w:tcPr>
            <w:tcW w:type="dxa" w:w="24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19"/>
                <w:szCs w:val="19"/>
              </w:rPr>
              <w:t xml:space="preserve">Value</w:t>
            </w:r>
          </w:p>
        </w:tc>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19"/>
                <w:szCs w:val="19"/>
              </w:rPr>
              <w:t xml:space="preserve">Action</w:t>
            </w:r>
          </w:p>
        </w:tc>
        <w:tc>
          <w:tcPr>
            <w:tcW w:type="dxa" w:w="21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19"/>
                <w:szCs w:val="19"/>
              </w:rP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TWELVE_DATA_API_KEY</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(from Twelve Data dashboard)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Add to Replit Secrets</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Required — integration will not work without it</w:t>
            </w:r>
          </w:p>
        </w:tc>
      </w:tr>
      <w:tr>
        <w:tc>
          <w:tcPr>
            <w:tcW w:type="dxa" w:w="26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TWELVE_DATA_RATE_LIMIT</w:t>
            </w:r>
          </w:p>
        </w:tc>
        <w:tc>
          <w:tcPr>
            <w:tcW w:type="dxa" w:w="24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55</w:t>
            </w:r>
          </w:p>
        </w:tc>
        <w:tc>
          <w:tcPr>
            <w:tcW w:type="dxa" w:w="2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Add to Replit Secrets</w:t>
            </w:r>
          </w:p>
        </w:tc>
        <w:tc>
          <w:tcPr>
            <w:tcW w:type="dxa" w:w="21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Grow plan limit. Change to 610 for Pro plan.</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TWELVE_DATA_IS_REALTIME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false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Add to Replit Secrets</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Set to true only on Pro plan with real-time add-on</w:t>
            </w:r>
          </w:p>
        </w:tc>
      </w:tr>
      <w:tr>
        <w:tc>
          <w:tcPr>
            <w:tcW w:type="dxa" w:w="26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MARKET_PROVIDER_PRIMARY</w:t>
            </w:r>
          </w:p>
        </w:tc>
        <w:tc>
          <w:tcPr>
            <w:tcW w:type="dxa" w:w="24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twelve_data</w:t>
            </w:r>
          </w:p>
        </w:tc>
        <w:tc>
          <w:tcPr>
            <w:tcW w:type="dxa" w:w="2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Update in Replit Secrets</w:t>
            </w:r>
          </w:p>
        </w:tc>
        <w:tc>
          <w:tcPr>
            <w:tcW w:type="dxa" w:w="21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Was: finnhub</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MARKET_PROVIDER_SECONDARY</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finnhub</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Update in Replit Secrets</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Was: (unset)</w:t>
            </w:r>
          </w:p>
        </w:tc>
      </w:tr>
      <w:tr>
        <w:tc>
          <w:tcPr>
            <w:tcW w:type="dxa" w:w="26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MARKET_PROVIDER_FALLBACK</w:t>
            </w:r>
          </w:p>
        </w:tc>
        <w:tc>
          <w:tcPr>
            <w:tcW w:type="dxa" w:w="24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yahoo_finance</w:t>
            </w:r>
          </w:p>
        </w:tc>
        <w:tc>
          <w:tcPr>
            <w:tcW w:type="dxa" w:w="2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Add to Replit Secrets</w:t>
            </w:r>
          </w:p>
        </w:tc>
        <w:tc>
          <w:tcPr>
            <w:tcW w:type="dxa" w:w="21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New — ensures 3-provider chain before mock</w:t>
            </w:r>
          </w:p>
        </w:tc>
      </w:tr>
    </w:tbl>
    <w:p>
      <w:r>
        <w:br w:type="page"/>
      </w:r>
    </w:p>
    <w:p>
      <w:pPr>
        <w:pStyle w:val="Heading1"/>
        <w:spacing w:after="200" w:before="380"/>
      </w:pPr>
      <w:r>
        <w:rPr>
          <w:rFonts w:ascii="Arial" w:cs="Arial" w:eastAsia="Arial" w:hAnsi="Arial"/>
        </w:rPr>
        <w:t xml:space="preserve">14. Complete File Touchpoint Summary</w:t>
      </w:r>
    </w:p>
    <w:p>
      <w:pPr>
        <w:pStyle w:val="Heading2"/>
        <w:spacing w:after="180" w:before="280"/>
      </w:pPr>
      <w:r>
        <w:rPr>
          <w:rFonts w:ascii="Arial" w:cs="Arial" w:eastAsia="Arial" w:hAnsi="Arial"/>
        </w:rPr>
        <w:t xml:space="preserve">14.1 New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000"/>
        <w:gridCol w:w="4960"/>
      </w:tblGrid>
      <w:tr>
        <w:trPr>
          <w:tblHeader/>
        </w:trPr>
        <w:tc>
          <w:tcPr>
            <w:tcW w:type="dxa" w:w="34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19"/>
                <w:szCs w:val="19"/>
              </w:rPr>
              <w:t xml:space="preserve">File</w:t>
            </w:r>
          </w:p>
        </w:tc>
        <w:tc>
          <w:tcPr>
            <w:tcW w:type="dxa" w:w="1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19"/>
                <w:szCs w:val="19"/>
              </w:rPr>
              <w:t xml:space="preserve">Lines (est.)</w:t>
            </w:r>
          </w:p>
        </w:tc>
        <w:tc>
          <w:tcPr>
            <w:tcW w:type="dxa" w:w="49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19"/>
                <w:szCs w:val="19"/>
              </w:rPr>
              <w:t xml:space="preserve">Purpose</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server/providers/symbolNormalizer.ts</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~120</w:t>
            </w:r>
          </w:p>
        </w:tc>
        <w:tc>
          <w:tcPr>
            <w:tcW w:type="dxa" w:w="4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Symbol normalization module: ResolvedSymbol type, resolveSymbol(), resolveSymbols(), denormalizeSymbol(), static exchange map, ticker overrides, DB fallback, in-memory cache, audit logging</w:t>
            </w:r>
          </w:p>
        </w:tc>
      </w:tr>
      <w:tr>
        <w:tc>
          <w:tcPr>
            <w:tcW w:type="dxa" w:w="34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server/providers/twelveData.ts</w:t>
            </w:r>
          </w:p>
        </w:tc>
        <w:tc>
          <w:tcPr>
            <w:tcW w:type="dxa" w:w="1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~280</w:t>
            </w:r>
          </w:p>
        </w:tc>
        <w:tc>
          <w:tcPr>
            <w:tcW w:type="dxa" w:w="49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Twelve Data MarketProvider adapter: getQuotes (batch), getHistoricalPrices, getCompanyProfile, getEarningsCalendar, response normalization, display_symbol / provider_symbol / is_delayed construction</w:t>
            </w:r>
          </w:p>
        </w:tc>
      </w:tr>
    </w:tbl>
    <w:p>
      <w:pPr>
        <w:pStyle w:val="Heading2"/>
        <w:spacing w:after="180" w:before="280"/>
      </w:pPr>
      <w:r>
        <w:rPr>
          <w:rFonts w:ascii="Arial" w:cs="Arial" w:eastAsia="Arial" w:hAnsi="Arial"/>
        </w:rPr>
        <w:t xml:space="preserve">14.2 Modified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000"/>
        <w:gridCol w:w="4960"/>
      </w:tblGrid>
      <w:tr>
        <w:trPr>
          <w:tblHeader/>
        </w:trPr>
        <w:tc>
          <w:tcPr>
            <w:tcW w:type="dxa" w:w="34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19"/>
                <w:szCs w:val="19"/>
              </w:rPr>
              <w:t xml:space="preserve">File</w:t>
            </w:r>
          </w:p>
        </w:tc>
        <w:tc>
          <w:tcPr>
            <w:tcW w:type="dxa" w:w="1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19"/>
                <w:szCs w:val="19"/>
              </w:rPr>
              <w:t xml:space="preserve">Lines Changed</w:t>
            </w:r>
          </w:p>
        </w:tc>
        <w:tc>
          <w:tcPr>
            <w:tcW w:type="dxa" w:w="49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19"/>
                <w:szCs w:val="19"/>
              </w:rPr>
              <w:t xml:space="preserve">Change Description</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server/providers/registry.ts</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~5</w:t>
            </w:r>
          </w:p>
        </w:tc>
        <w:tc>
          <w:tcPr>
            <w:tcW w:type="dxa" w:w="4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Import twelveDataMarketProvider, add case 'twelve_data' to resolveMarketProvider()</w:t>
            </w:r>
          </w:p>
        </w:tc>
      </w:tr>
      <w:tr>
        <w:tc>
          <w:tcPr>
            <w:tcW w:type="dxa" w:w="34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server/services/toolRegistry.ts</w:t>
            </w:r>
          </w:p>
        </w:tc>
        <w:tc>
          <w:tcPr>
            <w:tcW w:type="dxa" w:w="1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~8</w:t>
            </w:r>
          </w:p>
        </w:tc>
        <w:tc>
          <w:tcPr>
            <w:tcW w:type="dxa" w:w="49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Update getQuotes, getHistoricalPrices, getCompanyProfile tool descriptions with GCC ticker examples</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server/services/promptBuilder.ts</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~6</w:t>
            </w:r>
          </w:p>
        </w:tc>
        <w:tc>
          <w:tcPr>
            <w:tcW w:type="dxa" w:w="4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Update tool guide text: replace ‘Finnhub’ with Twelve Data, add GCC exchange coverage note, add delayed-price guidance</w:t>
            </w:r>
          </w:p>
        </w:tc>
      </w:tr>
      <w:tr>
        <w:tc>
          <w:tcPr>
            <w:tcW w:type="dxa" w:w="34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server/services/responseBuilder.ts</w:t>
            </w:r>
          </w:p>
        </w:tc>
        <w:tc>
          <w:tcPr>
            <w:tcW w:type="dxa" w:w="1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~10</w:t>
            </w:r>
          </w:p>
        </w:tc>
        <w:tc>
          <w:tcPr>
            <w:tcW w:type="dxa" w:w="49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Add Twelve Data attribution line when source_provider === 'twelve_data'</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src/components/ada/ChatWidgets.tsx</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~20</w:t>
            </w:r>
          </w:p>
        </w:tc>
        <w:tc>
          <w:tcPr>
            <w:tcW w:type="dxa" w:w="4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Add currency formatter for AED/SAR display, add ‘Powered by Twelve Data’ badge</w:t>
            </w:r>
          </w:p>
        </w:tc>
      </w:tr>
      <w:tr>
        <w:tc>
          <w:tcPr>
            <w:tcW w:type="dxa" w:w="34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shared/schemas/agent.ts</w:t>
            </w:r>
          </w:p>
        </w:tc>
        <w:tc>
          <w:tcPr>
            <w:tcW w:type="dxa" w:w="1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~5</w:t>
            </w:r>
          </w:p>
        </w:tc>
        <w:tc>
          <w:tcPr>
            <w:tcW w:type="dxa" w:w="49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Add display_symbol, provider_symbol, is_delayed to MarketQuote type</w:t>
            </w:r>
          </w:p>
        </w:tc>
      </w:tr>
    </w:tbl>
    <w:p>
      <w:pPr>
        <w:pStyle w:val="Heading2"/>
        <w:spacing w:after="180" w:before="280"/>
      </w:pPr>
      <w:r>
        <w:rPr>
          <w:rFonts w:ascii="Arial" w:cs="Arial" w:eastAsia="Arial" w:hAnsi="Arial"/>
        </w:rPr>
        <w:t xml:space="preserve">14.3 Totals</w:t>
      </w:r>
    </w:p>
    <w:p>
      <w:pPr>
        <w:spacing w:after="160" w:before="0" w:line="276"/>
      </w:pPr>
      <w:r>
        <w:rPr>
          <w:rFonts w:ascii="Arial" w:cs="Arial" w:eastAsia="Arial" w:hAnsi="Arial"/>
          <w:b/>
          <w:bCs/>
          <w:sz w:val="22"/>
          <w:szCs w:val="22"/>
        </w:rPr>
        <w:t xml:space="preserve">New code: </w:t>
      </w:r>
      <w:r>
        <w:rPr>
          <w:rFonts w:ascii="Arial" w:cs="Arial" w:eastAsia="Arial" w:hAnsi="Arial"/>
          <w:sz w:val="22"/>
          <w:szCs w:val="22"/>
        </w:rPr>
        <w:t xml:space="preserve">~400 lines across 2 new files. </w:t>
      </w:r>
      <w:r>
        <w:rPr>
          <w:rFonts w:ascii="Arial" w:cs="Arial" w:eastAsia="Arial" w:hAnsi="Arial"/>
          <w:b/>
          <w:bCs/>
          <w:sz w:val="22"/>
          <w:szCs w:val="22"/>
        </w:rPr>
        <w:t xml:space="preserve">Modified code: </w:t>
      </w:r>
      <w:r>
        <w:rPr>
          <w:rFonts w:ascii="Arial" w:cs="Arial" w:eastAsia="Arial" w:hAnsi="Arial"/>
          <w:sz w:val="22"/>
          <w:szCs w:val="22"/>
        </w:rPr>
        <w:t xml:space="preserve">~54 lines across 6 existing files. </w:t>
      </w:r>
      <w:r>
        <w:rPr>
          <w:rFonts w:ascii="Arial" w:cs="Arial" w:eastAsia="Arial" w:hAnsi="Arial"/>
          <w:b/>
          <w:bCs/>
          <w:sz w:val="22"/>
          <w:szCs w:val="22"/>
        </w:rPr>
        <w:t xml:space="preserve">Schema changes: </w:t>
      </w:r>
      <w:r>
        <w:rPr>
          <w:rFonts w:ascii="Arial" w:cs="Arial" w:eastAsia="Arial" w:hAnsi="Arial"/>
          <w:sz w:val="22"/>
          <w:szCs w:val="22"/>
        </w:rPr>
        <w:t xml:space="preserve">None required.</w:t>
      </w:r>
    </w:p>
    <w:p>
      <w:r>
        <w:br w:type="page"/>
      </w:r>
    </w:p>
    <w:p>
      <w:pPr>
        <w:pStyle w:val="Heading1"/>
        <w:spacing w:after="200" w:before="380"/>
      </w:pPr>
      <w:r>
        <w:rPr>
          <w:rFonts w:ascii="Arial" w:cs="Arial" w:eastAsia="Arial" w:hAnsi="Arial"/>
        </w:rPr>
        <w:t xml:space="preserve">15. Implementation Verification Checklist</w:t>
      </w:r>
    </w:p>
    <w:p>
      <w:pPr>
        <w:spacing w:after="160" w:before="0" w:line="276"/>
      </w:pPr>
      <w:r>
        <w:rPr>
          <w:rFonts w:ascii="Arial" w:cs="Arial" w:eastAsia="Arial" w:hAnsi="Arial"/>
          <w:sz w:val="22"/>
          <w:szCs w:val="22"/>
        </w:rPr>
        <w:t xml:space="preserve">After completing each phase, verify the following:</w:t>
      </w:r>
    </w:p>
    <w:p>
      <w:pPr>
        <w:pStyle w:val="Heading2"/>
        <w:spacing w:after="180" w:before="280"/>
      </w:pPr>
      <w:r>
        <w:rPr>
          <w:rFonts w:ascii="Arial" w:cs="Arial" w:eastAsia="Arial" w:hAnsi="Arial"/>
        </w:rPr>
        <w:t xml:space="preserve">15.1 Phase 1 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060"/>
        <w:gridCol w:w="4800"/>
      </w:tblGrid>
      <w:tr>
        <w:trPr>
          <w:tblHeader/>
        </w:trPr>
        <w:tc>
          <w:tcPr>
            <w:tcW w:type="dxa" w:w="5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19"/>
                <w:szCs w:val="19"/>
              </w:rPr>
              <w:t xml:space="preserve">#</w:t>
            </w:r>
          </w:p>
        </w:tc>
        <w:tc>
          <w:tcPr>
            <w:tcW w:type="dxa" w:w="40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19"/>
                <w:szCs w:val="19"/>
              </w:rPr>
              <w:t xml:space="preserve">Test</w:t>
            </w:r>
          </w:p>
        </w:tc>
        <w:tc>
          <w:tcPr>
            <w:tcW w:type="dxa" w:w="4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19"/>
                <w:szCs w:val="19"/>
              </w:rPr>
              <w:t xml:space="preserve">Expected Result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V1</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Chat: “What’s the current price of Emaar?”</w:t>
            </w:r>
          </w:p>
        </w:tc>
        <w:tc>
          <w:tcPr>
            <w:tcW w:type="dxa" w:w="4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Returns live AED price from Twelve Data, not mock data. Source provider in response is ‘twelve_data’.</w:t>
            </w:r>
          </w:p>
        </w:tc>
      </w:tr>
      <w:tr>
        <w:tc>
          <w:tcPr>
            <w:tcW w:type="dxa" w:w="5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V2</w:t>
            </w:r>
          </w:p>
        </w:tc>
        <w:tc>
          <w:tcPr>
            <w:tcW w:type="dxa" w:w="40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Chat: “How is Aramco trading?”</w:t>
            </w:r>
          </w:p>
        </w:tc>
        <w:tc>
          <w:tcPr>
            <w:tcW w:type="dxa" w:w="48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Returns live SAR price. Symbol resolution log shows ARAMCO → 2222:TADAWUL.</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V3</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Chat: “What’s Apple’s stock price?”</w:t>
            </w:r>
          </w:p>
        </w:tc>
        <w:tc>
          <w:tcPr>
            <w:tcW w:type="dxa" w:w="4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Returns live USD price from Twelve Data. US equities still work.</w:t>
            </w:r>
          </w:p>
        </w:tc>
      </w:tr>
      <w:tr>
        <w:tc>
          <w:tcPr>
            <w:tcW w:type="dxa" w:w="5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V4</w:t>
            </w:r>
          </w:p>
        </w:tc>
        <w:tc>
          <w:tcPr>
            <w:tcW w:type="dxa" w:w="40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GET /api/providers/status</w:t>
            </w:r>
          </w:p>
        </w:tc>
        <w:tc>
          <w:tcPr>
            <w:tcW w:type="dxa" w:w="48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Shows twelve_data in the provider list with healthy status.</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V5</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Server logs</w:t>
            </w:r>
          </w:p>
        </w:tc>
        <w:tc>
          <w:tcPr>
            <w:tcW w:type="dxa" w:w="4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Symbol resolution audit log lines visible for each resolved symbol.</w:t>
            </w:r>
          </w:p>
        </w:tc>
      </w:tr>
      <w:tr>
        <w:tc>
          <w:tcPr>
            <w:tcW w:type="dxa" w:w="5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V6</w:t>
            </w:r>
          </w:p>
        </w:tc>
        <w:tc>
          <w:tcPr>
            <w:tcW w:type="dxa" w:w="40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Kill TWELVE_DATA_API_KEY temporarily</w:t>
            </w:r>
          </w:p>
        </w:tc>
        <w:tc>
          <w:tcPr>
            <w:tcW w:type="dxa" w:w="48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Fallback chain kicks in: Finnhub handles US, mock handles GCC. No crash.</w:t>
            </w:r>
          </w:p>
        </w:tc>
      </w:tr>
    </w:tbl>
    <w:p>
      <w:pPr>
        <w:pStyle w:val="Heading2"/>
        <w:spacing w:after="180" w:before="280"/>
      </w:pPr>
      <w:r>
        <w:rPr>
          <w:rFonts w:ascii="Arial" w:cs="Arial" w:eastAsia="Arial" w:hAnsi="Arial"/>
        </w:rPr>
        <w:t xml:space="preserve">15.2 Phase 2 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060"/>
        <w:gridCol w:w="3800"/>
      </w:tblGrid>
      <w:tr>
        <w:trPr>
          <w:tblHeader/>
        </w:trPr>
        <w:tc>
          <w:tcPr>
            <w:tcW w:type="dxa" w:w="5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19"/>
                <w:szCs w:val="19"/>
              </w:rPr>
              <w:t xml:space="preserve">#</w:t>
            </w:r>
          </w:p>
        </w:tc>
        <w:tc>
          <w:tcPr>
            <w:tcW w:type="dxa" w:w="50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19"/>
                <w:szCs w:val="19"/>
              </w:rPr>
              <w:t xml:space="preserve">Test</w:t>
            </w:r>
          </w:p>
        </w:tc>
        <w:tc>
          <w:tcPr>
            <w:tcW w:type="dxa" w:w="3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19"/>
                <w:szCs w:val="19"/>
              </w:rPr>
              <w:t xml:space="preserve">Expected Result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V7</w:t>
            </w:r>
          </w:p>
        </w:tc>
        <w:tc>
          <w:tcPr>
            <w:tcW w:type="dxa" w:w="5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Chat: “Show me Emaar’s price history over the last 30 days”</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Returns OHLCV array from Twelve Data. Currency is AED.</w:t>
            </w:r>
          </w:p>
        </w:tc>
      </w:tr>
      <w:tr>
        <w:tc>
          <w:tcPr>
            <w:tcW w:type="dxa" w:w="5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V8</w:t>
            </w:r>
          </w:p>
        </w:tc>
        <w:tc>
          <w:tcPr>
            <w:tcW w:type="dxa" w:w="50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Chat: “Tell me about First Abu Dhabi Bank”</w:t>
            </w:r>
          </w:p>
        </w:tc>
        <w:tc>
          <w:tcPr>
            <w:tcW w:type="dxa" w:w="38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Returns company profile with sector, industry, country from Twelve Data.</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V9</w:t>
            </w:r>
          </w:p>
        </w:tc>
        <w:tc>
          <w:tcPr>
            <w:tcW w:type="dxa" w:w="5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Chat widget displays “AED 9.92” not “$9.92” for Emaar</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Currency formatter works correctly in HoldingsSummary widget.</w:t>
            </w:r>
          </w:p>
        </w:tc>
      </w:tr>
      <w:tr>
        <w:tc>
          <w:tcPr>
            <w:tcW w:type="dxa" w:w="5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V10</w:t>
            </w:r>
          </w:p>
        </w:tc>
        <w:tc>
          <w:tcPr>
            <w:tcW w:type="dxa" w:w="50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“Powered by Twelve Data” visible in chat response</w:t>
            </w:r>
          </w:p>
        </w:tc>
        <w:tc>
          <w:tcPr>
            <w:tcW w:type="dxa" w:w="38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Attribution line appended by response builder.</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V11</w:t>
            </w:r>
          </w:p>
        </w:tc>
        <w:tc>
          <w:tcPr>
            <w:tcW w:type="dxa" w:w="5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Chat: “What’s the price of FAB, STC, and ADNOCDIST?”</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Batch quote — all 3 return live prices in a single response.</w:t>
            </w:r>
          </w:p>
        </w:tc>
      </w:tr>
    </w:tbl>
    <w:p>
      <w:pPr>
        <w:pStyle w:val="Heading2"/>
        <w:spacing w:after="180" w:before="280"/>
      </w:pPr>
      <w:r>
        <w:rPr>
          <w:rFonts w:ascii="Arial" w:cs="Arial" w:eastAsia="Arial" w:hAnsi="Arial"/>
        </w:rPr>
        <w:t xml:space="preserve">15.3 Phase 3 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060"/>
        <w:gridCol w:w="3800"/>
      </w:tblGrid>
      <w:tr>
        <w:trPr>
          <w:tblHeader/>
        </w:trPr>
        <w:tc>
          <w:tcPr>
            <w:tcW w:type="dxa" w:w="5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19"/>
                <w:szCs w:val="19"/>
              </w:rPr>
              <w:t xml:space="preserve">#</w:t>
            </w:r>
          </w:p>
        </w:tc>
        <w:tc>
          <w:tcPr>
            <w:tcW w:type="dxa" w:w="50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19"/>
                <w:szCs w:val="19"/>
              </w:rPr>
              <w:t xml:space="preserve">Test</w:t>
            </w:r>
          </w:p>
        </w:tc>
        <w:tc>
          <w:tcPr>
            <w:tcW w:type="dxa" w:w="3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19"/>
                <w:szCs w:val="19"/>
              </w:rPr>
              <w:t xml:space="preserve">Expected Result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V12</w:t>
            </w:r>
          </w:p>
        </w:tc>
        <w:tc>
          <w:tcPr>
            <w:tcW w:type="dxa" w:w="5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Discover tab shows a GCC-related content card with real price data</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Price-triggered card generated by ingest worker.</w:t>
            </w:r>
          </w:p>
        </w:tc>
      </w:tr>
      <w:tr>
        <w:tc>
          <w:tcPr>
            <w:tcW w:type="dxa" w:w="5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V13</w:t>
            </w:r>
          </w:p>
        </w:tc>
        <w:tc>
          <w:tcPr>
            <w:tcW w:type="dxa" w:w="50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Morning Sentinel mentions a GCC holding’s price movement</w:t>
            </w:r>
          </w:p>
        </w:tc>
        <w:tc>
          <w:tcPr>
            <w:tcW w:type="dxa" w:w="38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Briefing includes AED/SAR price context for GCC holdings.</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V14</w:t>
            </w:r>
          </w:p>
        </w:tc>
        <w:tc>
          <w:tcPr>
            <w:tcW w:type="dxa" w:w="5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Simulate 10 concurrent “Price of Emaar?” queries</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19"/>
                <w:szCs w:val="19"/>
              </w:rPr>
              <w:t xml:space="preserve">Rate limiter holds. Cache serves 9 of 10. No Twelve Data 429 errors.</w:t>
            </w:r>
          </w:p>
        </w:tc>
      </w:tr>
    </w:tbl>
    <w:p>
      <w:pPr>
        <w:pBdr>
          <w:bottom w:val="single" w:color="D6EAF8" w:sz="4" w:space="1"/>
        </w:pBdr>
        <w:spacing w:after="160" w:before="160"/>
      </w:pPr>
    </w:p>
    <w:p>
      <w:pPr>
        <w:spacing w:after="80" w:before="80"/>
      </w:pPr>
    </w:p>
    <w:p>
      <w:pPr>
        <w:spacing w:after="160" w:before="0" w:line="276"/>
        <w:jc w:val="center"/>
      </w:pPr>
      <w:r>
        <w:rPr>
          <w:rFonts w:ascii="Arial" w:cs="Arial" w:eastAsia="Arial" w:hAnsi="Arial"/>
          <w:i/>
          <w:iCs/>
          <w:color w:val="999999"/>
          <w:sz w:val="22"/>
          <w:szCs w:val="22"/>
        </w:rPr>
        <w:t xml:space="preserve">End of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Arial" w:cs="Arial" w:eastAsia="Arial" w:hAnsi="Arial"/>
        <w:color w:val="999999"/>
        <w:sz w:val="16"/>
        <w:szCs w:val="16"/>
      </w:rPr>
      <w:t xml:space="preserve">Optimus × ENBD  —  Confidential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EAF8" w:sz="2" w:space="4"/>
      </w:pBdr>
      <w:spacing w:after="0"/>
      <w:jc w:val="right"/>
    </w:pPr>
    <w:r>
      <w:rPr>
        <w:rFonts w:ascii="Arial" w:cs="Arial" w:eastAsia="Arial" w:hAnsi="Arial"/>
        <w:i/>
        <w:iCs/>
        <w:color w:val="888888"/>
        <w:sz w:val="16"/>
        <w:szCs w:val="16"/>
      </w:rPr>
      <w:t xml:space="preserve">Ada — Twelve Data Integration Design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80"/>
      <w:outlineLvl w:val="0"/>
    </w:pPr>
    <w:rPr>
      <w:rFonts w:ascii="Arial" w:cs="Arial" w:eastAsia="Arial" w:hAnsi="Arial"/>
      <w:b/>
      <w:bCs/>
      <w:color w:val="1B4F72"/>
      <w:sz w:val="32"/>
      <w:szCs w:val="32"/>
    </w:rPr>
  </w:style>
  <w:style w:type="paragraph" w:styleId="Heading2">
    <w:name w:val="Heading 2"/>
    <w:basedOn w:val="Normal"/>
    <w:next w:val="Normal"/>
    <w:qFormat/>
    <w:pPr>
      <w:spacing w:after="180" w:before="280"/>
      <w:outlineLvl w:val="1"/>
    </w:pPr>
    <w:rPr>
      <w:rFonts w:ascii="Arial" w:cs="Arial" w:eastAsia="Arial" w:hAnsi="Arial"/>
      <w:b/>
      <w:bCs/>
      <w:color w:val="2C3E50"/>
      <w:sz w:val="26"/>
      <w:szCs w:val="26"/>
    </w:rPr>
  </w:style>
  <w:style w:type="paragraph" w:styleId="Heading3">
    <w:name w:val="Heading 3"/>
    <w:basedOn w:val="Normal"/>
    <w:next w:val="Normal"/>
    <w:qFormat/>
    <w:pPr>
      <w:spacing w:after="120" w:before="220"/>
      <w:outlineLvl w:val="2"/>
    </w:pPr>
    <w:rPr>
      <w:rFonts w:ascii="Arial" w:cs="Arial" w:eastAsia="Arial" w:hAnsi="Arial"/>
      <w:b/>
      <w:bCs/>
      <w:color w:val="2C3E5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2026-04-01T10:24:01.906Z</dcterms:created>
  <dcterms:modified xsi:type="dcterms:W3CDTF">2026-04-01T10:24:01.907Z</dcterms:modified>
</cp:coreProperties>
</file>

<file path=docProps/custom.xml><?xml version="1.0" encoding="utf-8"?>
<Properties xmlns="http://schemas.openxmlformats.org/officeDocument/2006/custom-properties" xmlns:vt="http://schemas.openxmlformats.org/officeDocument/2006/docPropsVTypes"/>
</file>