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200"/>
        <w:jc w:val="left"/>
      </w:pPr>
      <w:r>
        <w:rPr>
          <w:rFonts w:ascii="Arial" w:cs="Arial" w:eastAsia="Arial" w:hAnsi="Arial"/>
          <w:color w:val="2E75B6"/>
          <w:spacing w:val="200"/>
          <w:sz w:val="20"/>
          <w:szCs w:val="20"/>
        </w:rPr>
        <w:t xml:space="preserve">ADA WEALTH COPILOT</w:t>
      </w:r>
    </w:p>
    <w:p>
      <w:pPr>
        <w:pBdr>
          <w:bottom w:val="single" w:color="2E75B6" w:sz="6" w:space="1"/>
        </w:pBdr>
        <w:spacing w:after="100"/>
        <w:jc w:val="left"/>
      </w:pPr>
      <w:r>
        <w:rPr>
          <w:rFonts w:ascii="Arial" w:cs="Arial" w:eastAsia="Arial" w:hAnsi="Arial"/>
          <w:b/>
          <w:bCs/>
          <w:color w:val="1B3A5C"/>
          <w:sz w:val="52"/>
          <w:szCs w:val="52"/>
        </w:rPr>
        <w:t xml:space="preserve">Chat Response Protocol</w:t>
      </w:r>
    </w:p>
    <w:p>
      <w:pPr>
        <w:spacing w:after="80"/>
        <w:jc w:val="left"/>
      </w:pPr>
      <w:r>
        <w:rPr>
          <w:rFonts w:ascii="Arial" w:cs="Arial" w:eastAsia="Arial" w:hAnsi="Arial"/>
          <w:color w:val="6B7280"/>
          <w:sz w:val="26"/>
          <w:szCs w:val="26"/>
        </w:rPr>
        <w:t xml:space="preserve">Structured Response Architecture and Component Registry</w:t>
      </w:r>
    </w:p>
    <w:p>
      <w:pPr>
        <w:spacing w:after="600"/>
      </w:pPr>
    </w:p>
    <w:p>
      <w:pPr>
        <w:spacing w:after="80"/>
        <w:jc w:val="left"/>
      </w:pPr>
      <w:r>
        <w:rPr>
          <w:rFonts w:ascii="Arial" w:cs="Arial" w:eastAsia="Arial" w:hAnsi="Arial"/>
          <w:color w:val="6B7280"/>
          <w:sz w:val="22"/>
          <w:szCs w:val="22"/>
        </w:rPr>
        <w:t xml:space="preserve">Version 1.0  |  April 2026</w:t>
      </w:r>
    </w:p>
    <w:p>
      <w:pPr>
        <w:spacing w:after="80"/>
        <w:jc w:val="left"/>
      </w:pPr>
      <w:r>
        <w:rPr>
          <w:rFonts w:ascii="Arial" w:cs="Arial" w:eastAsia="Arial" w:hAnsi="Arial"/>
          <w:color w:val="6B7280"/>
          <w:sz w:val="22"/>
          <w:szCs w:val="22"/>
        </w:rPr>
        <w:t xml:space="preserve">Optimus  ·  Confidential</w:t>
      </w:r>
    </w:p>
    <w:p>
      <w:pPr>
        <w:spacing w:after="80"/>
        <w:jc w:val="left"/>
      </w:pPr>
      <w:r>
        <w:rPr>
          <w:rFonts w:ascii="Courier New" w:cs="Courier New" w:eastAsia="Courier New" w:hAnsi="Courier New"/>
          <w:color w:val="2E75B6"/>
          <w:sz w:val="20"/>
          <w:szCs w:val="20"/>
        </w:rPr>
        <w:t xml:space="preserve">Companion artifact: ada-response-protocol.ts</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Problem Statement</w:t>
      </w:r>
    </w:p>
    <w:p>
      <w:pPr>
        <w:spacing w:after="160" w:line="300"/>
        <w:jc w:val="left"/>
      </w:pPr>
      <w:r>
        <w:rPr>
          <w:rFonts w:ascii="Arial" w:cs="Arial" w:eastAsia="Arial" w:hAnsi="Arial"/>
          <w:color w:val="2D2D2D"/>
          <w:sz w:val="22"/>
          <w:szCs w:val="22"/>
        </w:rPr>
        <w:t xml:space="preserve">Ada currently renders every LLM response as a single text bubble. The user sees a wall of prose regardless of whether the query was about portfolio allocation, risk exposure, or a simple greeting. This makes every response feel identical, obscures the most actionable information, and prevents the frontend from applying domain-specific visual treatment to financial data.</w:t>
      </w:r>
    </w:p>
    <w:p>
      <w:pPr>
        <w:spacing w:after="160" w:line="300"/>
        <w:jc w:val="left"/>
      </w:pPr>
      <w:r>
        <w:rPr>
          <w:rFonts w:ascii="Arial" w:cs="Arial" w:eastAsia="Arial" w:hAnsi="Arial"/>
          <w:color w:val="2D2D2D"/>
          <w:sz w:val="22"/>
          <w:szCs w:val="22"/>
        </w:rPr>
        <w:t xml:space="preserve">The root cause is architectural, not cosmetic. Without a typed contract between the LLM output and the frontend renderer, the UI has no way to distinguish a metrics row from an explanation paragraph from a compliance disclaimer. Improving fonts and spacing alone will not solve the problem; the LLM must return structured data that the frontend can render component-by-component.</w:t>
      </w:r>
    </w:p>
    <w:p>
      <w:pPr>
        <w:spacing w:after="160" w:line="300"/>
        <w:jc w:val="left"/>
      </w:pPr>
      <w:r>
        <w:rPr>
          <w:rFonts w:ascii="Arial" w:cs="Arial" w:eastAsia="Arial" w:hAnsi="Arial"/>
          <w:color w:val="2D2D2D"/>
          <w:sz w:val="22"/>
          <w:szCs w:val="22"/>
        </w:rPr>
        <w:t xml:space="preserve">This document specifies that contract: the Ada Response Protocol.</w:t>
      </w:r>
    </w:p>
    <w:p>
      <w:pPr>
        <w:pStyle w:val="Heading1"/>
      </w:pPr>
      <w:r>
        <w:t xml:space="preserve">2. Architecture Overview</w:t>
      </w:r>
    </w:p>
    <w:p>
      <w:pPr>
        <w:spacing w:after="160" w:line="300"/>
        <w:jc w:val="left"/>
      </w:pPr>
      <w:r>
        <w:rPr>
          <w:rFonts w:ascii="Arial" w:cs="Arial" w:eastAsia="Arial" w:hAnsi="Arial"/>
          <w:color w:val="2D2D2D"/>
          <w:sz w:val="22"/>
          <w:szCs w:val="22"/>
        </w:rPr>
        <w:t xml:space="preserve">The response protocol sits between three existing systems and creates a formal interface among them:</w:t>
      </w:r>
    </w:p>
    <w:p>
      <w:pPr>
        <w:pStyle w:val="ListParagraph"/>
        <w:numPr>
          <w:ilvl w:val="0"/>
          <w:numId w:val="2"/>
        </w:numPr>
        <w:spacing w:after="80" w:line="280"/>
      </w:pPr>
      <w:r>
        <w:rPr>
          <w:rFonts w:ascii="Arial" w:cs="Arial" w:eastAsia="Arial" w:hAnsi="Arial"/>
          <w:b/>
          <w:bCs/>
          <w:color w:val="2D2D2D"/>
          <w:sz w:val="22"/>
          <w:szCs w:val="22"/>
        </w:rPr>
        <w:t xml:space="preserve">ada-classifier </w:t>
      </w:r>
      <w:r>
        <w:rPr>
          <w:rFonts w:ascii="Arial" w:cs="Arial" w:eastAsia="Arial" w:hAnsi="Arial"/>
          <w:color w:val="2D2D2D"/>
          <w:sz w:val="22"/>
          <w:szCs w:val="22"/>
        </w:rPr>
        <w:t xml:space="preserve">resolves user intent from the raw message. Its output is an AdaIntent enum value (e.g., allocation_breakdown, risk_check). This is unchanged.</w:t>
      </w:r>
    </w:p>
    <w:p>
      <w:pPr>
        <w:pStyle w:val="ListParagraph"/>
        <w:numPr>
          <w:ilvl w:val="0"/>
          <w:numId w:val="2"/>
        </w:numPr>
        <w:spacing w:after="80" w:line="280"/>
      </w:pPr>
      <w:r>
        <w:rPr>
          <w:rFonts w:ascii="Arial" w:cs="Arial" w:eastAsia="Arial" w:hAnsi="Arial"/>
          <w:b/>
          <w:bCs/>
          <w:color w:val="2D2D2D"/>
          <w:sz w:val="22"/>
          <w:szCs w:val="22"/>
        </w:rPr>
        <w:t xml:space="preserve">ada-reason </w:t>
      </w:r>
      <w:r>
        <w:rPr>
          <w:rFonts w:ascii="Arial" w:cs="Arial" w:eastAsia="Arial" w:hAnsi="Arial"/>
          <w:color w:val="2D2D2D"/>
          <w:sz w:val="22"/>
          <w:szCs w:val="22"/>
        </w:rPr>
        <w:t xml:space="preserve">generates the response. The protocol changes what ada-reason returns: instead of free-form text, it returns a JSON AdaResponseEnvelope containing typed blocks.</w:t>
      </w:r>
    </w:p>
    <w:p>
      <w:pPr>
        <w:pStyle w:val="ListParagraph"/>
        <w:numPr>
          <w:ilvl w:val="0"/>
          <w:numId w:val="2"/>
        </w:numPr>
        <w:spacing w:after="80" w:line="280"/>
      </w:pPr>
      <w:r>
        <w:rPr>
          <w:rFonts w:ascii="Arial" w:cs="Arial" w:eastAsia="Arial" w:hAnsi="Arial"/>
          <w:b/>
          <w:bCs/>
          <w:color w:val="2D2D2D"/>
          <w:sz w:val="22"/>
          <w:szCs w:val="22"/>
        </w:rPr>
        <w:t xml:space="preserve">ChatResponseRenderer </w:t>
      </w:r>
      <w:r>
        <w:rPr>
          <w:rFonts w:ascii="Arial" w:cs="Arial" w:eastAsia="Arial" w:hAnsi="Arial"/>
          <w:color w:val="2D2D2D"/>
          <w:sz w:val="22"/>
          <w:szCs w:val="22"/>
        </w:rPr>
        <w:t xml:space="preserve">(new) is the frontend component that iterates over the envelope blocks and renders the matching React component for each block type.</w:t>
      </w:r>
    </w:p>
    <w:p>
      <w:pPr>
        <w:spacing w:after="80"/>
      </w:pPr>
    </w:p>
    <w:p>
      <w:pPr>
        <w:pStyle w:val="Heading2"/>
      </w:pPr>
      <w:r>
        <w:t xml:space="preserve">2.1 Request Flow</w:t>
      </w:r>
    </w:p>
    <w:p>
      <w:pPr>
        <w:spacing w:after="160" w:line="300"/>
        <w:jc w:val="left"/>
      </w:pPr>
      <w:r>
        <w:rPr>
          <w:rFonts w:ascii="Arial" w:cs="Arial" w:eastAsia="Arial" w:hAnsi="Arial"/>
          <w:color w:val="2D2D2D"/>
          <w:sz w:val="22"/>
          <w:szCs w:val="22"/>
        </w:rPr>
        <w:t xml:space="preserve">The end-to-end flow for a structured response follows this sequence:</w:t>
      </w:r>
    </w:p>
    <w:p>
      <w:pPr>
        <w:pStyle w:val="ListParagraph"/>
        <w:numPr>
          <w:ilvl w:val="0"/>
          <w:numId w:val="3"/>
        </w:numPr>
        <w:spacing w:after="80" w:line="280"/>
      </w:pPr>
      <w:r>
        <w:rPr>
          <w:rFonts w:ascii="Arial" w:cs="Arial" w:eastAsia="Arial" w:hAnsi="Arial"/>
          <w:b/>
          <w:bCs/>
          <w:sz w:val="22"/>
          <w:szCs w:val="22"/>
        </w:rPr>
        <w:t xml:space="preserve">1. </w:t>
      </w:r>
      <w:r>
        <w:rPr>
          <w:rFonts w:ascii="Arial" w:cs="Arial" w:eastAsia="Arial" w:hAnsi="Arial"/>
          <w:sz w:val="22"/>
          <w:szCs w:val="22"/>
        </w:rPr>
        <w:t xml:space="preserve">User sends message (e.g., "Review my tech allocation")</w:t>
      </w:r>
    </w:p>
    <w:p>
      <w:pPr>
        <w:pStyle w:val="ListParagraph"/>
        <w:numPr>
          <w:ilvl w:val="0"/>
          <w:numId w:val="3"/>
        </w:numPr>
        <w:spacing w:after="80" w:line="280"/>
      </w:pPr>
      <w:r>
        <w:rPr>
          <w:rFonts w:ascii="Arial" w:cs="Arial" w:eastAsia="Arial" w:hAnsi="Arial"/>
          <w:b/>
          <w:bCs/>
          <w:sz w:val="22"/>
          <w:szCs w:val="22"/>
        </w:rPr>
        <w:t xml:space="preserve">2. </w:t>
      </w:r>
      <w:r>
        <w:rPr>
          <w:rFonts w:ascii="Arial" w:cs="Arial" w:eastAsia="Arial" w:hAnsi="Arial"/>
          <w:sz w:val="22"/>
          <w:szCs w:val="22"/>
        </w:rPr>
        <w:t xml:space="preserve">ada-classifier resolves intent → allocation_breakdown</w:t>
      </w:r>
    </w:p>
    <w:p>
      <w:pPr>
        <w:pStyle w:val="ListParagraph"/>
        <w:numPr>
          <w:ilvl w:val="0"/>
          <w:numId w:val="3"/>
        </w:numPr>
        <w:spacing w:after="80" w:line="280"/>
      </w:pPr>
      <w:r>
        <w:rPr>
          <w:rFonts w:ascii="Arial" w:cs="Arial" w:eastAsia="Arial" w:hAnsi="Arial"/>
          <w:b/>
          <w:bCs/>
          <w:sz w:val="22"/>
          <w:szCs w:val="22"/>
        </w:rPr>
        <w:t xml:space="preserve">3. </w:t>
      </w:r>
      <w:r>
        <w:rPr>
          <w:rFonts w:ascii="Arial" w:cs="Arial" w:eastAsia="Arial" w:hAnsi="Arial"/>
          <w:sz w:val="22"/>
          <w:szCs w:val="22"/>
        </w:rPr>
        <w:t xml:space="preserve">Orchestrator loads the intent template (system prompt fragment + expected blocks)</w:t>
      </w:r>
    </w:p>
    <w:p>
      <w:pPr>
        <w:pStyle w:val="ListParagraph"/>
        <w:numPr>
          <w:ilvl w:val="0"/>
          <w:numId w:val="3"/>
        </w:numPr>
        <w:spacing w:after="80" w:line="280"/>
      </w:pPr>
      <w:r>
        <w:rPr>
          <w:rFonts w:ascii="Arial" w:cs="Arial" w:eastAsia="Arial" w:hAnsi="Arial"/>
          <w:b/>
          <w:bCs/>
          <w:sz w:val="22"/>
          <w:szCs w:val="22"/>
        </w:rPr>
        <w:t xml:space="preserve">4. </w:t>
      </w:r>
      <w:r>
        <w:rPr>
          <w:rFonts w:ascii="Arial" w:cs="Arial" w:eastAsia="Arial" w:hAnsi="Arial"/>
          <w:sz w:val="22"/>
          <w:szCs w:val="22"/>
        </w:rPr>
        <w:t xml:space="preserve">ada-reason generates: streams headline tokens first, then emits full JSON envelope</w:t>
      </w:r>
    </w:p>
    <w:p>
      <w:pPr>
        <w:pStyle w:val="ListParagraph"/>
        <w:numPr>
          <w:ilvl w:val="0"/>
          <w:numId w:val="3"/>
        </w:numPr>
        <w:spacing w:after="80" w:line="280"/>
      </w:pPr>
      <w:r>
        <w:rPr>
          <w:rFonts w:ascii="Arial" w:cs="Arial" w:eastAsia="Arial" w:hAnsi="Arial"/>
          <w:b/>
          <w:bCs/>
          <w:sz w:val="22"/>
          <w:szCs w:val="22"/>
        </w:rPr>
        <w:t xml:space="preserve">5. </w:t>
      </w:r>
      <w:r>
        <w:rPr>
          <w:rFonts w:ascii="Arial" w:cs="Arial" w:eastAsia="Arial" w:hAnsi="Arial"/>
          <w:sz w:val="22"/>
          <w:szCs w:val="22"/>
        </w:rPr>
        <w:t xml:space="preserve">Frontend validates envelope via validateResponse(), renders blocks or falls back to raw text</w:t>
      </w:r>
    </w:p>
    <w:p>
      <w:pPr>
        <w:pStyle w:val="Heading1"/>
      </w:pPr>
      <w:r>
        <w:t xml:space="preserve">3. Response Envelope</w:t>
      </w:r>
    </w:p>
    <w:p>
      <w:pPr>
        <w:spacing w:after="160" w:line="300"/>
        <w:jc w:val="left"/>
      </w:pPr>
      <w:r>
        <w:rPr>
          <w:rFonts w:ascii="Arial" w:cs="Arial" w:eastAsia="Arial" w:hAnsi="Arial"/>
          <w:color w:val="2D2D2D"/>
          <w:sz w:val="22"/>
          <w:szCs w:val="22"/>
        </w:rPr>
        <w:t xml:space="preserve">Every ada-reason completion returns an AdaResponseEnvelope. This is the single top-level schema the frontend expects.</w:t>
      </w:r>
    </w:p>
    <w:p>
      <w:pPr>
        <w:pStyle w:val="Heading2"/>
      </w:pPr>
      <w:r>
        <w:t xml:space="preserve">3.1 Envelope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version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"1.0"</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Schema version for forward compatibility</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intent</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AdaIntent</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Classifier-resolved intent that selected this template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headline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One-sentence answer. Always rendered first, always streamed.</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blocks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AdaBlock[]</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Ordered array of typed content blocks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followUps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FollowUpChip[]</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Context-aware follow-up chips derived from response content</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sources</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SourceReference[]</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Data provenance metadata with freshness indicators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disclaimer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Compliance text. Rendered in collapsible tray, never inline.</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generatedAt</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49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ISO-8601 timestamp of response generation</w:t>
            </w:r>
          </w:p>
        </w:tc>
      </w:tr>
    </w:tbl>
    <w:p>
      <w:pPr>
        <w:spacing w:after="120"/>
      </w:pPr>
    </w:p>
    <w:p>
      <w:pPr>
        <w:pStyle w:val="Heading2"/>
      </w:pPr>
      <w:r>
        <w:t xml:space="preserve">3.2 Design Rationale</w:t>
      </w:r>
    </w:p>
    <w:p>
      <w:pPr>
        <w:spacing w:after="160" w:line="300"/>
        <w:jc w:val="left"/>
      </w:pPr>
      <w:r>
        <w:rPr>
          <w:rFonts w:ascii="Arial" w:cs="Arial" w:eastAsia="Arial" w:hAnsi="Arial"/>
          <w:color w:val="2D2D2D"/>
          <w:sz w:val="22"/>
          <w:szCs w:val="22"/>
        </w:rPr>
        <w:t xml:space="preserve">The headline is a separate top-level field rather than the first block because it serves two purposes: it is the streaming target during Phase 1 (the user sees it building token-by-token while blocks are still generating), and it is the accessibility fallback (screen readers and notification previews surface only the headline).</w:t>
      </w:r>
    </w:p>
    <w:p>
      <w:pPr>
        <w:spacing w:after="160" w:line="300"/>
        <w:jc w:val="left"/>
      </w:pPr>
      <w:r>
        <w:rPr>
          <w:rFonts w:ascii="Arial" w:cs="Arial" w:eastAsia="Arial" w:hAnsi="Arial"/>
          <w:color w:val="2D2D2D"/>
          <w:sz w:val="22"/>
          <w:szCs w:val="22"/>
        </w:rPr>
        <w:t xml:space="preserve">Sources and disclaimer are separate from blocks because they are always present regardless of intent and have fixed rendering positions (bottom tray). Including them in the blocks array would force every intent template to remember to add them.</w:t>
      </w:r>
    </w:p>
    <w:p>
      <w:r>
        <w:br w:type="page"/>
      </w:r>
    </w:p>
    <w:p>
      <w:pPr>
        <w:pStyle w:val="Heading1"/>
      </w:pPr>
      <w:r>
        <w:t xml:space="preserve">4. Block Type Reference</w:t>
      </w:r>
    </w:p>
    <w:p>
      <w:pPr>
        <w:spacing w:after="160" w:line="300"/>
        <w:jc w:val="left"/>
      </w:pPr>
      <w:r>
        <w:rPr>
          <w:rFonts w:ascii="Arial" w:cs="Arial" w:eastAsia="Arial" w:hAnsi="Arial"/>
          <w:color w:val="2D2D2D"/>
          <w:sz w:val="22"/>
          <w:szCs w:val="22"/>
        </w:rPr>
        <w:t xml:space="preserve">Ada defines 11 block types, each mapping to a dedicated React component. Every block carries a type discriminator that the frontend uses for component lookup.</w:t>
      </w:r>
    </w:p>
    <w:p>
      <w:pPr>
        <w:pStyle w:val="Heading2"/>
      </w:pPr>
      <w:r>
        <w:t xml:space="preserve">4.1 Metrics Row</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Display 2–5 key figures at a glance. Appears near the top of most financial responses.</w:t>
      </w:r>
    </w:p>
    <w:p>
      <w:pPr>
        <w:spacing w:after="160" w:line="300"/>
      </w:pPr>
      <w:r>
        <w:rPr>
          <w:rFonts w:ascii="Arial" w:cs="Arial" w:eastAsia="Arial" w:hAnsi="Arial"/>
          <w:b/>
          <w:bCs/>
          <w:color w:val="2D2D2D"/>
          <w:sz w:val="22"/>
          <w:szCs w:val="22"/>
        </w:rPr>
        <w:t xml:space="preserve">Example use: </w:t>
      </w:r>
      <w:r>
        <w:rPr>
          <w:rFonts w:ascii="Arial" w:cs="Arial" w:eastAsia="Arial" w:hAnsi="Arial"/>
          <w:color w:val="2D2D2D"/>
          <w:sz w:val="22"/>
          <w:szCs w:val="22"/>
        </w:rPr>
        <w:t xml:space="preserve">Tech exposure: 25.2% | Value: $7,899 | Top: MSFT | YTD: +12.3%</w:t>
      </w:r>
    </w:p>
    <w:p>
      <w:pPr>
        <w:spacing w:after="160" w:line="300"/>
      </w:pPr>
      <w:r>
        <w:rPr>
          <w:rFonts w:ascii="Arial" w:cs="Arial" w:eastAsia="Arial" w:hAnsi="Arial"/>
          <w:b/>
          <w:bCs/>
          <w:color w:val="2D2D2D"/>
          <w:sz w:val="22"/>
          <w:szCs w:val="22"/>
        </w:rPr>
        <w:t xml:space="preserve">Component: </w:t>
      </w:r>
      <w:r>
        <w:rPr>
          <w:rFonts w:ascii="Arial" w:cs="Arial" w:eastAsia="Arial" w:hAnsi="Arial"/>
          <w:color w:val="2D2D2D"/>
          <w:sz w:val="22"/>
          <w:szCs w:val="22"/>
        </w:rPr>
        <w:t xml:space="preserve">MetricsRow renders as a horizontal card strip with label, value, and optional delta badge (green up, red down, grey neutral).</w:t>
      </w:r>
    </w:p>
    <w:p>
      <w:pPr>
        <w:pStyle w:val="Heading2"/>
      </w:pPr>
      <w:r>
        <w:t xml:space="preserve">4.2 Section</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Rich text block with a heading and markdown-safe body. Used for explanations, interpretations, methodology.</w:t>
      </w:r>
    </w:p>
    <w:p>
      <w:pPr>
        <w:spacing w:after="160" w:line="300"/>
      </w:pPr>
      <w:r>
        <w:rPr>
          <w:rFonts w:ascii="Arial" w:cs="Arial" w:eastAsia="Arial" w:hAnsi="Arial"/>
          <w:b/>
          <w:bCs/>
          <w:color w:val="2D2D2D"/>
          <w:sz w:val="22"/>
          <w:szCs w:val="22"/>
        </w:rPr>
        <w:t xml:space="preserve">Collapsible mode: </w:t>
      </w:r>
      <w:r>
        <w:rPr>
          <w:rFonts w:ascii="Arial" w:cs="Arial" w:eastAsia="Arial" w:hAnsi="Arial"/>
          <w:color w:val="2D2D2D"/>
          <w:sz w:val="22"/>
          <w:szCs w:val="22"/>
        </w:rPr>
        <w:t xml:space="preserve">When collapsible is true, the section renders collapsed by default with a trigger label (e.g., "Show methodology"). This enables progressive disclosure without cluttering the primary response.</w:t>
      </w:r>
    </w:p>
    <w:p>
      <w:pPr>
        <w:pStyle w:val="Heading2"/>
      </w:pPr>
      <w:r>
        <w:t xml:space="preserve">4.3 Holdings Table</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Tabular display of holdings with sortable columns.</w:t>
      </w:r>
    </w:p>
    <w:p>
      <w:pPr>
        <w:spacing w:after="160" w:line="300"/>
      </w:pPr>
      <w:r>
        <w:rPr>
          <w:rFonts w:ascii="Arial" w:cs="Arial" w:eastAsia="Arial" w:hAnsi="Arial"/>
          <w:b/>
          <w:bCs/>
          <w:color w:val="2D2D2D"/>
          <w:sz w:val="22"/>
          <w:szCs w:val="22"/>
        </w:rPr>
        <w:t xml:space="preserve">Column format types: </w:t>
      </w:r>
      <w:r>
        <w:rPr>
          <w:rFonts w:ascii="Arial" w:cs="Arial" w:eastAsia="Arial" w:hAnsi="Arial"/>
          <w:color w:val="2D2D2D"/>
          <w:sz w:val="22"/>
          <w:szCs w:val="22"/>
        </w:rPr>
        <w:t xml:space="preserve">currency ($1,234.56), percent (25.2%), number (1,234), text, and delta (+12.3% with color).</w:t>
      </w:r>
    </w:p>
    <w:p>
      <w:pPr>
        <w:spacing w:after="160" w:line="300"/>
        <w:jc w:val="left"/>
      </w:pPr>
      <w:r>
        <w:rPr>
          <w:rFonts w:ascii="Arial" w:cs="Arial" w:eastAsia="Arial" w:hAnsi="Arial"/>
          <w:color w:val="2D2D2D"/>
          <w:sz w:val="22"/>
          <w:szCs w:val="22"/>
        </w:rPr>
        <w:t xml:space="preserve">The table is deliberately not paginated in MVP. Allocation and deep-dive queries typically return 3–15 rows, which render comfortably without pagination.</w:t>
      </w:r>
    </w:p>
    <w:p>
      <w:pPr>
        <w:pStyle w:val="Heading2"/>
      </w:pPr>
      <w:r>
        <w:t xml:space="preserve">4.4 Allocation Card</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Visual allocation breakdown for a single dimension (sector, geography, asset class, currency).</w:t>
      </w:r>
    </w:p>
    <w:p>
      <w:pPr>
        <w:spacing w:after="160" w:line="300"/>
      </w:pPr>
      <w:r>
        <w:rPr>
          <w:rFonts w:ascii="Arial" w:cs="Arial" w:eastAsia="Arial" w:hAnsi="Arial"/>
          <w:b/>
          <w:bCs/>
          <w:color w:val="2D2D2D"/>
          <w:sz w:val="22"/>
          <w:szCs w:val="22"/>
        </w:rPr>
        <w:t xml:space="preserve">Rendering: </w:t>
      </w:r>
      <w:r>
        <w:rPr>
          <w:rFonts w:ascii="Arial" w:cs="Arial" w:eastAsia="Arial" w:hAnsi="Arial"/>
          <w:color w:val="2D2D2D"/>
          <w:sz w:val="22"/>
          <w:szCs w:val="22"/>
        </w:rPr>
        <w:t xml:space="preserve">Donut chart with legend. When targetSegments is provided, a second ring or comparison bar shows deviation from target.</w:t>
      </w:r>
    </w:p>
    <w:p>
      <w:pPr>
        <w:spacing w:after="160" w:line="300"/>
        <w:jc w:val="left"/>
      </w:pPr>
      <w:r>
        <w:rPr>
          <w:rFonts w:ascii="Arial" w:cs="Arial" w:eastAsia="Arial" w:hAnsi="Arial"/>
          <w:color w:val="2D2D2D"/>
          <w:sz w:val="22"/>
          <w:szCs w:val="22"/>
        </w:rPr>
        <w:t xml:space="preserve">The dimension field drives the color palette: sectors use the Ada standard sector colors, geographies use map-derived colors, etc.</w:t>
      </w:r>
    </w:p>
    <w:p>
      <w:pPr>
        <w:pStyle w:val="Heading2"/>
      </w:pPr>
      <w:r>
        <w:t xml:space="preserve">4.5 Mini Chart</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Small inline chart for trend, comparison, or distribution visualization.</w:t>
      </w:r>
    </w:p>
    <w:p>
      <w:pPr>
        <w:spacing w:after="160" w:line="300"/>
      </w:pPr>
      <w:r>
        <w:rPr>
          <w:rFonts w:ascii="Arial" w:cs="Arial" w:eastAsia="Arial" w:hAnsi="Arial"/>
          <w:b/>
          <w:bCs/>
          <w:color w:val="2D2D2D"/>
          <w:sz w:val="22"/>
          <w:szCs w:val="22"/>
        </w:rPr>
        <w:t xml:space="preserve">Chart types: </w:t>
      </w:r>
      <w:r>
        <w:rPr>
          <w:rFonts w:ascii="Arial" w:cs="Arial" w:eastAsia="Arial" w:hAnsi="Arial"/>
          <w:color w:val="2D2D2D"/>
          <w:sz w:val="22"/>
          <w:szCs w:val="22"/>
        </w:rPr>
        <w:t xml:space="preserve">donut (allocation split), bar (comparison), line (trend over time), sparkline (compact inline trend).</w:t>
      </w:r>
    </w:p>
    <w:p>
      <w:pPr>
        <w:spacing w:after="160" w:line="300"/>
        <w:jc w:val="left"/>
      </w:pPr>
      <w:r>
        <w:rPr>
          <w:rFonts w:ascii="Arial" w:cs="Arial" w:eastAsia="Arial" w:hAnsi="Arial"/>
          <w:color w:val="2D2D2D"/>
          <w:sz w:val="22"/>
          <w:szCs w:val="22"/>
        </w:rPr>
        <w:t xml:space="preserve">Mini charts are rendered via Recharts, which is already in the Ada dependency tree. Chart data is passed as simple label/value pairs; complex time series are not in scope for v1.</w:t>
      </w:r>
    </w:p>
    <w:p>
      <w:pPr>
        <w:pStyle w:val="Heading2"/>
      </w:pPr>
      <w:r>
        <w:t xml:space="preserve">4.6 Comparison Block</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Side-by-side comparison of 2–4 items across multiple dimensions.</w:t>
      </w:r>
    </w:p>
    <w:p>
      <w:pPr>
        <w:spacing w:after="160" w:line="300"/>
      </w:pPr>
      <w:r>
        <w:rPr>
          <w:rFonts w:ascii="Arial" w:cs="Arial" w:eastAsia="Arial" w:hAnsi="Arial"/>
          <w:b/>
          <w:bCs/>
          <w:color w:val="2D2D2D"/>
          <w:sz w:val="22"/>
          <w:szCs w:val="22"/>
        </w:rPr>
        <w:t xml:space="preserve">Example use: </w:t>
      </w:r>
      <w:r>
        <w:rPr>
          <w:rFonts w:ascii="Arial" w:cs="Arial" w:eastAsia="Arial" w:hAnsi="Arial"/>
          <w:color w:val="2D2D2D"/>
          <w:sz w:val="22"/>
          <w:szCs w:val="22"/>
        </w:rPr>
        <w:t xml:space="preserve">Compare AAPL vs MSFT across P/E, dividend yield, portfolio weight, YTD return.</w:t>
      </w:r>
    </w:p>
    <w:p>
      <w:pPr>
        <w:spacing w:after="160" w:line="300"/>
        <w:jc w:val="left"/>
      </w:pPr>
      <w:r>
        <w:rPr>
          <w:rFonts w:ascii="Arial" w:cs="Arial" w:eastAsia="Arial" w:hAnsi="Arial"/>
          <w:color w:val="2D2D2D"/>
          <w:sz w:val="22"/>
          <w:szCs w:val="22"/>
        </w:rPr>
        <w:t xml:space="preserve">The optional highlight field on each dimension indicates which item "wins" on that metric, enabling subtle visual emphasis without making the comparison feel like a recommendation.</w:t>
      </w:r>
    </w:p>
    <w:p>
      <w:pPr>
        <w:pStyle w:val="Heading2"/>
      </w:pPr>
      <w:r>
        <w:t xml:space="preserve">4.7 Risk Card</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Domain-specific risk assessment with severity indicator.</w:t>
      </w:r>
    </w:p>
    <w:p>
      <w:pPr>
        <w:spacing w:after="160" w:line="300"/>
      </w:pPr>
      <w:r>
        <w:rPr>
          <w:rFonts w:ascii="Arial" w:cs="Arial" w:eastAsia="Arial" w:hAnsi="Arial"/>
          <w:b/>
          <w:bCs/>
          <w:color w:val="2D2D2D"/>
          <w:sz w:val="22"/>
          <w:szCs w:val="22"/>
        </w:rPr>
        <w:t xml:space="preserve">Risk types: </w:t>
      </w:r>
      <w:r>
        <w:rPr>
          <w:rFonts w:ascii="Arial" w:cs="Arial" w:eastAsia="Arial" w:hAnsi="Arial"/>
          <w:color w:val="2D2D2D"/>
          <w:sz w:val="22"/>
          <w:szCs w:val="22"/>
        </w:rPr>
        <w:t xml:space="preserve">concentration, volatility, diversification, liquidity, drawdown.</w:t>
      </w:r>
    </w:p>
    <w:p>
      <w:pPr>
        <w:spacing w:after="160" w:line="300"/>
      </w:pPr>
      <w:r>
        <w:rPr>
          <w:rFonts w:ascii="Arial" w:cs="Arial" w:eastAsia="Arial" w:hAnsi="Arial"/>
          <w:b/>
          <w:bCs/>
          <w:color w:val="2D2D2D"/>
          <w:sz w:val="22"/>
          <w:szCs w:val="22"/>
        </w:rPr>
        <w:t xml:space="preserve">Severity scale: </w:t>
      </w:r>
      <w:r>
        <w:rPr>
          <w:rFonts w:ascii="Arial" w:cs="Arial" w:eastAsia="Arial" w:hAnsi="Arial"/>
          <w:color w:val="2D2D2D"/>
          <w:sz w:val="22"/>
          <w:szCs w:val="22"/>
        </w:rPr>
        <w:t xml:space="preserve">low (green), moderate (amber), elevated (orange), high (red). The severity badge is the first thing the user sees; the description provides context.</w:t>
      </w:r>
    </w:p>
    <w:p>
      <w:pPr>
        <w:pStyle w:val="Heading2"/>
      </w:pPr>
      <w:r>
        <w:t xml:space="preserve">4.8 Opportunity Card</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Highlight an actionable financial opportunity.</w:t>
      </w:r>
    </w:p>
    <w:p>
      <w:pPr>
        <w:spacing w:after="160" w:line="300"/>
      </w:pPr>
      <w:r>
        <w:rPr>
          <w:rFonts w:ascii="Arial" w:cs="Arial" w:eastAsia="Arial" w:hAnsi="Arial"/>
          <w:b/>
          <w:bCs/>
          <w:color w:val="2D2D2D"/>
          <w:sz w:val="22"/>
          <w:szCs w:val="22"/>
        </w:rPr>
        <w:t xml:space="preserve">Categories: </w:t>
      </w:r>
      <w:r>
        <w:rPr>
          <w:rFonts w:ascii="Arial" w:cs="Arial" w:eastAsia="Arial" w:hAnsi="Arial"/>
          <w:color w:val="2D2D2D"/>
          <w:sz w:val="22"/>
          <w:szCs w:val="22"/>
        </w:rPr>
        <w:t xml:space="preserve">bond, cash, thematic, rebalance, tax.</w:t>
      </w:r>
    </w:p>
    <w:p>
      <w:pPr>
        <w:spacing w:after="160" w:line="300"/>
        <w:jc w:val="left"/>
      </w:pPr>
      <w:r>
        <w:rPr>
          <w:rFonts w:ascii="Arial" w:cs="Arial" w:eastAsia="Arial" w:hAnsi="Arial"/>
          <w:color w:val="2D2D2D"/>
          <w:sz w:val="22"/>
          <w:szCs w:val="22"/>
        </w:rPr>
        <w:t xml:space="preserve">The terms field renders as a key-value strip (e.g., Yield: 4.8% | Maturity: 2027 | Min: $10,000). This avoids burying financial terms in prose.</w:t>
      </w:r>
    </w:p>
    <w:p>
      <w:pPr>
        <w:pStyle w:val="Heading2"/>
      </w:pPr>
      <w:r>
        <w:t xml:space="preserve">4.9 Alert Banner</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Call attention to unusual conditions: unusual exposure, approaching maturity, significant price movement.</w:t>
      </w:r>
    </w:p>
    <w:p>
      <w:pPr>
        <w:spacing w:after="160" w:line="300"/>
      </w:pPr>
      <w:r>
        <w:rPr>
          <w:rFonts w:ascii="Arial" w:cs="Arial" w:eastAsia="Arial" w:hAnsi="Arial"/>
          <w:b/>
          <w:bCs/>
          <w:color w:val="2D2D2D"/>
          <w:sz w:val="22"/>
          <w:szCs w:val="22"/>
        </w:rPr>
        <w:t xml:space="preserve">Severity: </w:t>
      </w:r>
      <w:r>
        <w:rPr>
          <w:rFonts w:ascii="Arial" w:cs="Arial" w:eastAsia="Arial" w:hAnsi="Arial"/>
          <w:color w:val="2D2D2D"/>
          <w:sz w:val="22"/>
          <w:szCs w:val="22"/>
        </w:rPr>
        <w:t xml:space="preserve">info (blue), warning (amber), critical (red). The optional action field embeds a follow-up chip directly in the banner.</w:t>
      </w:r>
    </w:p>
    <w:p>
      <w:pPr>
        <w:pStyle w:val="Heading2"/>
      </w:pPr>
      <w:r>
        <w:t xml:space="preserve">4.10 Scenario Block</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"What if" analysis showing before/after metrics and net impact.</w:t>
      </w:r>
    </w:p>
    <w:p>
      <w:pPr>
        <w:spacing w:after="160" w:line="300"/>
      </w:pPr>
      <w:r>
        <w:rPr>
          <w:rFonts w:ascii="Arial" w:cs="Arial" w:eastAsia="Arial" w:hAnsi="Arial"/>
          <w:b/>
          <w:bCs/>
          <w:color w:val="2D2D2D"/>
          <w:sz w:val="22"/>
          <w:szCs w:val="22"/>
        </w:rPr>
        <w:t xml:space="preserve">Example use: </w:t>
      </w:r>
      <w:r>
        <w:rPr>
          <w:rFonts w:ascii="Arial" w:cs="Arial" w:eastAsia="Arial" w:hAnsi="Arial"/>
          <w:color w:val="2D2D2D"/>
          <w:sz w:val="22"/>
          <w:szCs w:val="22"/>
        </w:rPr>
        <w:t xml:space="preserve">If you reduce tech from 25% to 20%: before metrics → after metrics → impact summary.</w:t>
      </w:r>
    </w:p>
    <w:p>
      <w:pPr>
        <w:spacing w:after="160" w:line="300"/>
        <w:jc w:val="left"/>
      </w:pPr>
      <w:r>
        <w:rPr>
          <w:rFonts w:ascii="Arial" w:cs="Arial" w:eastAsia="Arial" w:hAnsi="Arial"/>
          <w:color w:val="2D2D2D"/>
          <w:sz w:val="22"/>
          <w:szCs w:val="22"/>
        </w:rPr>
        <w:t xml:space="preserve">Scenario blocks are the most token-expensive block type because they require the LLM to perform comparative calculations. They should only appear for explicit rebalance or stress-test intents.</w:t>
      </w:r>
    </w:p>
    <w:p>
      <w:pPr>
        <w:pStyle w:val="Heading2"/>
      </w:pPr>
      <w:r>
        <w:t xml:space="preserve">4.11 Advisor CTA</w:t>
      </w:r>
    </w:p>
    <w:p>
      <w:pPr>
        <w:spacing w:after="160" w:line="300"/>
      </w:pPr>
      <w:r>
        <w:rPr>
          <w:rFonts w:ascii="Arial" w:cs="Arial" w:eastAsia="Arial" w:hAnsi="Arial"/>
          <w:b/>
          <w:bCs/>
          <w:color w:val="2D2D2D"/>
          <w:sz w:val="22"/>
          <w:szCs w:val="22"/>
        </w:rPr>
        <w:t xml:space="preserve">Purpose: </w:t>
      </w:r>
      <w:r>
        <w:rPr>
          <w:rFonts w:ascii="Arial" w:cs="Arial" w:eastAsia="Arial" w:hAnsi="Arial"/>
          <w:color w:val="2D2D2D"/>
          <w:sz w:val="22"/>
          <w:szCs w:val="22"/>
        </w:rPr>
        <w:t xml:space="preserve">Actions that bridge chat insight to real-world next steps.</w:t>
      </w:r>
    </w:p>
    <w:p>
      <w:pPr>
        <w:spacing w:after="160" w:line="300"/>
        <w:jc w:val="left"/>
      </w:pPr>
      <w:r>
        <w:rPr>
          <w:rFonts w:ascii="Arial" w:cs="Arial" w:eastAsia="Arial" w:hAnsi="Arial"/>
          <w:color w:val="2D2D2D"/>
          <w:sz w:val="22"/>
          <w:szCs w:val="22"/>
        </w:rPr>
        <w:t xml:space="preserve">Each action has a demoEnabled flag. In demo mode, "Share with RM" and "Book a review" show a simulated confirmation; "Save to watchlist" is functional against the demo persona data; "Export PDF" is deferred.</w:t>
      </w:r>
    </w:p>
    <w:p>
      <w:r>
        <w:br w:type="page"/>
      </w:r>
    </w:p>
    <w:p>
      <w:pPr>
        <w:pStyle w:val="Heading1"/>
      </w:pPr>
      <w:r>
        <w:t xml:space="preserve">5. Intent-to-Template Mapping</w:t>
      </w:r>
    </w:p>
    <w:p>
      <w:pPr>
        <w:spacing w:after="160" w:line="300"/>
        <w:jc w:val="left"/>
      </w:pPr>
      <w:r>
        <w:rPr>
          <w:rFonts w:ascii="Arial" w:cs="Arial" w:eastAsia="Arial" w:hAnsi="Arial"/>
          <w:color w:val="2D2D2D"/>
          <w:sz w:val="22"/>
          <w:szCs w:val="22"/>
        </w:rPr>
        <w:t xml:space="preserve">The intent-to-template registry is the bridge between ada-classifier output and ada-reason prompt construction. Each intent maps to a system prompt fragment (maintained as a separate markdown file), a set of expected block types (used for skeleton loading hints and response validation), and an estimated output token count (used for cost tracking and budget gating).</w:t>
      </w:r>
    </w:p>
    <w:p>
      <w:pPr>
        <w:pStyle w:val="Heading2"/>
      </w:pPr>
      <w:r>
        <w:t xml:space="preserve">5.1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c>
          <w:tcPr>
            <w:tcW w:type="dxa" w:w="48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Blocks</w:t>
            </w:r>
          </w:p>
        </w:tc>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Tokens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portfolio_review</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metrics_row, allocation_card, holdings_table, risk_card, advisor_cta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1,800</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allocation_breakdown</w:t>
            </w:r>
          </w:p>
        </w:tc>
        <w:tc>
          <w:tcPr>
            <w:tcW w:type="dxa" w:w="4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metrics_row, allocation_card, mini_chart, section</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1,400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holding_deep_dive</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metrics_row, mini_chart, section, holdings_table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1,200</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gain_loss_explainer</w:t>
            </w:r>
          </w:p>
        </w:tc>
        <w:tc>
          <w:tcPr>
            <w:tcW w:type="dxa" w:w="4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metrics_row, holdings_table, section</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1,200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risk_check</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risk_card, metrics_row, allocation_card, alert_banner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1,400</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rebalance_analysis</w:t>
            </w:r>
          </w:p>
        </w:tc>
        <w:tc>
          <w:tcPr>
            <w:tcW w:type="dxa" w:w="4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scenario, metrics_row, holdings_table, advisor_cta</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1,600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product_opportunity</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opportunity_card, comparison, section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1,200</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market_impact</w:t>
            </w:r>
          </w:p>
        </w:tc>
        <w:tc>
          <w:tcPr>
            <w:tcW w:type="dxa" w:w="4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alert_banner, holdings_table, metrics_row, section</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1,400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comparison</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comparison, mini_chart, section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1,400</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educational</w:t>
            </w:r>
          </w:p>
        </w:tc>
        <w:tc>
          <w:tcPr>
            <w:tcW w:type="dxa" w:w="4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section</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800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advisor_escalation</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section, advisor_cta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600</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general_query</w:t>
            </w:r>
          </w:p>
        </w:tc>
        <w:tc>
          <w:tcPr>
            <w:tcW w:type="dxa" w:w="4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section</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600</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unsupported</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section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300</w:t>
            </w:r>
          </w:p>
        </w:tc>
      </w:tr>
    </w:tbl>
    <w:p>
      <w:pPr>
        <w:spacing w:after="120"/>
      </w:pPr>
    </w:p>
    <w:p>
      <w:pPr>
        <w:pStyle w:val="Heading2"/>
      </w:pPr>
      <w:r>
        <w:t xml:space="preserve">5.2 Prompt Fragment Architecture</w:t>
      </w:r>
    </w:p>
    <w:p>
      <w:pPr>
        <w:spacing w:after="160" w:line="300"/>
        <w:jc w:val="left"/>
      </w:pPr>
      <w:r>
        <w:rPr>
          <w:rFonts w:ascii="Arial" w:cs="Arial" w:eastAsia="Arial" w:hAnsi="Arial"/>
          <w:color w:val="2D2D2D"/>
          <w:sz w:val="22"/>
          <w:szCs w:val="22"/>
        </w:rPr>
        <w:t xml:space="preserve">Each intent template references a prompt fragment file. The orchestrator constructs the full system prompt by concatenating: the base ada-reason persona prompt (CIO Reference Framework context, compliance guardrails, client profile), followed by the intent-specific prompt fragment (output format instructions, required block types, example JSON skeleton), followed by the structured output instruction ("Return a valid JSON AdaResponseEnvelope. Do not include any text outside the JSON.").</w:t>
      </w:r>
    </w:p>
    <w:p>
      <w:pPr>
        <w:spacing w:after="160" w:line="300"/>
        <w:jc w:val="left"/>
      </w:pPr>
      <w:r>
        <w:rPr>
          <w:rFonts w:ascii="Arial" w:cs="Arial" w:eastAsia="Arial" w:hAnsi="Arial"/>
          <w:color w:val="2D2D2D"/>
          <w:sz w:val="22"/>
          <w:szCs w:val="22"/>
        </w:rPr>
        <w:t xml:space="preserve">Prompt fragments are version-controlled alongside the application code, not embedded in the database. This ensures that prompt changes go through the same review process as code changes and can be rolled back atomically.</w:t>
      </w:r>
    </w:p>
    <w:p>
      <w:pPr>
        <w:pStyle w:val="Heading2"/>
      </w:pPr>
      <w:r>
        <w:t xml:space="preserve">5.3 Skeleton Loading Hints</w:t>
      </w:r>
    </w:p>
    <w:p>
      <w:pPr>
        <w:spacing w:after="160" w:line="300"/>
        <w:jc w:val="left"/>
      </w:pPr>
      <w:r>
        <w:rPr>
          <w:rFonts w:ascii="Arial" w:cs="Arial" w:eastAsia="Arial" w:hAnsi="Arial"/>
          <w:color w:val="2D2D2D"/>
          <w:sz w:val="22"/>
          <w:szCs w:val="22"/>
        </w:rPr>
        <w:t xml:space="preserve">The expectedBlocks array serves a second purpose: when the frontend knows the intent before the response arrives (which it does, because the classifier runs first), it can render skeleton placeholders for the expected block types. This gives the user an immediate visual signal of the response shape rather than a generic loading spinner.</w:t>
      </w:r>
    </w:p>
    <w:p>
      <w:r>
        <w:br w:type="page"/>
      </w:r>
    </w:p>
    <w:p>
      <w:pPr>
        <w:pStyle w:val="Heading1"/>
      </w:pPr>
      <w:r>
        <w:t xml:space="preserve">6. Streaming and Delivery Strategy</w:t>
      </w:r>
    </w:p>
    <w:p>
      <w:pPr>
        <w:pStyle w:val="Heading2"/>
      </w:pPr>
      <w:r>
        <w:t xml:space="preserve">6.1 The Core Tension</w:t>
      </w:r>
    </w:p>
    <w:p>
      <w:pPr>
        <w:spacing w:after="160" w:line="300"/>
        <w:jc w:val="left"/>
      </w:pPr>
      <w:r>
        <w:rPr>
          <w:rFonts w:ascii="Arial" w:cs="Arial" w:eastAsia="Arial" w:hAnsi="Arial"/>
          <w:color w:val="2D2D2D"/>
          <w:sz w:val="22"/>
          <w:szCs w:val="22"/>
        </w:rPr>
        <w:t xml:space="preserve">Streaming JSON token-by-token is impractical. A partial JSON string cannot be parsed, so the frontend cannot render blocks incrementally. But users expect sub-second first-token latency; waiting 3–5 seconds for a complete JSON payload before showing anything is unacceptable for a premium experience.</w:t>
      </w:r>
    </w:p>
    <w:p>
      <w:pPr>
        <w:pStyle w:val="Heading2"/>
      </w:pPr>
      <w:r>
        <w:t xml:space="preserve">6.2 Hybrid Streaming Protocol</w:t>
      </w:r>
    </w:p>
    <w:p>
      <w:pPr>
        <w:spacing w:after="160" w:line="300"/>
        <w:jc w:val="left"/>
      </w:pPr>
      <w:r>
        <w:rPr>
          <w:rFonts w:ascii="Arial" w:cs="Arial" w:eastAsia="Arial" w:hAnsi="Arial"/>
          <w:color w:val="2D2D2D"/>
          <w:sz w:val="22"/>
          <w:szCs w:val="22"/>
        </w:rPr>
        <w:t xml:space="preserve">Ada uses a two-phase hybrid approach:</w:t>
      </w:r>
    </w:p>
    <w:p>
      <w:pPr>
        <w:spacing w:after="160" w:line="300"/>
      </w:pPr>
      <w:r>
        <w:rPr>
          <w:rFonts w:ascii="Arial" w:cs="Arial" w:eastAsia="Arial" w:hAnsi="Arial"/>
          <w:b/>
          <w:bCs/>
          <w:color w:val="2D2D2D"/>
          <w:sz w:val="22"/>
          <w:szCs w:val="22"/>
        </w:rPr>
        <w:t xml:space="preserve">Phase 1 — Stream headline: </w:t>
      </w:r>
      <w:r>
        <w:rPr>
          <w:rFonts w:ascii="Arial" w:cs="Arial" w:eastAsia="Arial" w:hAnsi="Arial"/>
          <w:color w:val="2D2D2D"/>
          <w:sz w:val="22"/>
          <w:szCs w:val="22"/>
        </w:rPr>
        <w:t xml:space="preserve">The LLM is instructed to output the headline text first, before the JSON envelope. These tokens are streamed via standard SSE (text/event-stream) and rendered immediately in the chat bubble. The user sees the one-sentence answer building in real-time.</w:t>
      </w:r>
    </w:p>
    <w:p>
      <w:pPr>
        <w:spacing w:after="160" w:line="300"/>
      </w:pPr>
      <w:r>
        <w:rPr>
          <w:rFonts w:ascii="Arial" w:cs="Arial" w:eastAsia="Arial" w:hAnsi="Arial"/>
          <w:b/>
          <w:bCs/>
          <w:color w:val="2D2D2D"/>
          <w:sz w:val="22"/>
          <w:szCs w:val="22"/>
        </w:rPr>
        <w:t xml:space="preserve">Phase 2 — Structured payload: </w:t>
      </w:r>
      <w:r>
        <w:rPr>
          <w:rFonts w:ascii="Arial" w:cs="Arial" w:eastAsia="Arial" w:hAnsi="Arial"/>
          <w:color w:val="2D2D2D"/>
          <w:sz w:val="22"/>
          <w:szCs w:val="22"/>
        </w:rPr>
        <w:t xml:space="preserve">Once the headline is complete, the LLM outputs the full JSON AdaResponseEnvelope (which includes the headline again for completeness). The frontend receives this as a single [STRUCTURED] SSE event, validates it via validateResponse(), and transitions from the streamed headline to the full block-based render.</w:t>
      </w:r>
    </w:p>
    <w:p>
      <w:pPr>
        <w:pStyle w:val="Heading2"/>
      </w:pPr>
      <w:r>
        <w:t xml:space="preserve">6.3 SSE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4000"/>
      </w:tblGrid>
      <w:tr>
        <w:tc>
          <w:tcPr>
            <w:tcW w:type="dxa" w:w="15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8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4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 Action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token</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Raw text token</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Append to headline bubble</w:t>
            </w:r>
          </w:p>
        </w:tc>
      </w:tr>
      <w:tr>
        <w:tc>
          <w:tcPr>
            <w:tcW w:type="dxa" w:w="1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structured</w:t>
            </w:r>
          </w:p>
        </w:tc>
        <w:tc>
          <w:tcPr>
            <w:tcW w:type="dxa" w:w="3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JSON AdaResponseEnvelope</w:t>
            </w:r>
          </w:p>
        </w:tc>
        <w:tc>
          <w:tcPr>
            <w:tcW w:type="dxa" w:w="4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Parse, validate, render blocks. Replace headline bubble with full structured view.</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error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JSON AdaErrorPayload</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Show error state or raw text fallback</w:t>
            </w:r>
          </w:p>
        </w:tc>
      </w:tr>
    </w:tbl>
    <w:p>
      <w:pPr>
        <w:spacing w:after="120"/>
      </w:pPr>
    </w:p>
    <w:p>
      <w:pPr>
        <w:pStyle w:val="Heading2"/>
      </w:pPr>
      <w:r>
        <w:t xml:space="preserve">6.4 Transition Animation</w:t>
      </w:r>
    </w:p>
    <w:p>
      <w:pPr>
        <w:spacing w:after="160" w:line="300"/>
        <w:jc w:val="left"/>
      </w:pPr>
      <w:r>
        <w:rPr>
          <w:rFonts w:ascii="Arial" w:cs="Arial" w:eastAsia="Arial" w:hAnsi="Arial"/>
          <w:color w:val="2D2D2D"/>
          <w:sz w:val="22"/>
          <w:szCs w:val="22"/>
        </w:rPr>
        <w:t xml:space="preserve">When the structured payload arrives, the frontend should transition smoothly from the headline-only view to the full block layout. The recommended pattern is: keep the headline in place, fade in the metrics row beneath it, then stagger-reveal remaining blocks with a 50ms delay between each. This creates a "staged reveal" effect that feels intentional rather than jarring.</w:t>
      </w:r>
    </w:p>
    <w:p>
      <w:r>
        <w:br w:type="page"/>
      </w:r>
    </w:p>
    <w:p>
      <w:pPr>
        <w:pStyle w:val="Heading1"/>
      </w:pPr>
      <w:r>
        <w:t xml:space="preserve">7. Fallback and Error Handling</w:t>
      </w:r>
    </w:p>
    <w:p>
      <w:pPr>
        <w:spacing w:after="160" w:line="300"/>
        <w:jc w:val="left"/>
      </w:pPr>
      <w:r>
        <w:rPr>
          <w:rFonts w:ascii="Arial" w:cs="Arial" w:eastAsia="Arial" w:hAnsi="Arial"/>
          <w:color w:val="2D2D2D"/>
          <w:sz w:val="22"/>
          <w:szCs w:val="22"/>
        </w:rPr>
        <w:t xml:space="preserve">LLMs will sometimes return malformed structured output, especially when prompts are complex and the model is under token pressure. The protocol must degrade gracefully.</w:t>
      </w:r>
    </w:p>
    <w:p>
      <w:pPr>
        <w:pStyle w:val="Heading2"/>
      </w:pPr>
      <w:r>
        <w:t xml:space="preserve">7.1 Fallback Hierarchy</w:t>
      </w:r>
    </w:p>
    <w:p>
      <w:pPr>
        <w:pStyle w:val="ListParagraph"/>
        <w:numPr>
          <w:ilvl w:val="0"/>
          <w:numId w:val="2"/>
        </w:numPr>
        <w:spacing w:after="80" w:line="280"/>
      </w:pPr>
      <w:r>
        <w:rPr>
          <w:rFonts w:ascii="Arial" w:cs="Arial" w:eastAsia="Arial" w:hAnsi="Arial"/>
          <w:b/>
          <w:bCs/>
          <w:sz w:val="22"/>
          <w:szCs w:val="22"/>
        </w:rPr>
        <w:t xml:space="preserve">Valid envelope: </w:t>
      </w:r>
      <w:r>
        <w:rPr>
          <w:rFonts w:ascii="Arial" w:cs="Arial" w:eastAsia="Arial" w:hAnsi="Arial"/>
          <w:sz w:val="22"/>
          <w:szCs w:val="22"/>
        </w:rPr>
        <w:t xml:space="preserve">Render full block-based UI. This is the happy path.</w:t>
      </w:r>
    </w:p>
    <w:p>
      <w:pPr>
        <w:pStyle w:val="ListParagraph"/>
        <w:numPr>
          <w:ilvl w:val="0"/>
          <w:numId w:val="2"/>
        </w:numPr>
        <w:spacing w:after="80" w:line="280"/>
      </w:pPr>
      <w:r>
        <w:rPr>
          <w:rFonts w:ascii="Arial" w:cs="Arial" w:eastAsia="Arial" w:hAnsi="Arial"/>
          <w:b/>
          <w:bCs/>
          <w:sz w:val="22"/>
          <w:szCs w:val="22"/>
        </w:rPr>
        <w:t xml:space="preserve">Parseable JSON but missing required fields: </w:t>
      </w:r>
      <w:r>
        <w:rPr>
          <w:rFonts w:ascii="Arial" w:cs="Arial" w:eastAsia="Arial" w:hAnsi="Arial"/>
          <w:sz w:val="22"/>
          <w:szCs w:val="22"/>
        </w:rPr>
        <w:t xml:space="preserve">Extract whatever blocks are valid. Render them. Show a subtle "Simplified view" indicator. Log the validation failure for monitoring.</w:t>
      </w:r>
    </w:p>
    <w:p>
      <w:pPr>
        <w:pStyle w:val="ListParagraph"/>
        <w:numPr>
          <w:ilvl w:val="0"/>
          <w:numId w:val="2"/>
        </w:numPr>
        <w:spacing w:after="80" w:line="280"/>
      </w:pPr>
      <w:r>
        <w:rPr>
          <w:rFonts w:ascii="Arial" w:cs="Arial" w:eastAsia="Arial" w:hAnsi="Arial"/>
          <w:b/>
          <w:bCs/>
          <w:sz w:val="22"/>
          <w:szCs w:val="22"/>
        </w:rPr>
        <w:t xml:space="preserve">Unparseable JSON: </w:t>
      </w:r>
      <w:r>
        <w:rPr>
          <w:rFonts w:ascii="Arial" w:cs="Arial" w:eastAsia="Arial" w:hAnsi="Arial"/>
          <w:sz w:val="22"/>
          <w:szCs w:val="22"/>
        </w:rPr>
        <w:t xml:space="preserve">Fall back to raw text rendering. Display the LLM output as a plain text bubble (the current behavior). Show a "Simplified view" indicator.</w:t>
      </w:r>
    </w:p>
    <w:p>
      <w:pPr>
        <w:pStyle w:val="ListParagraph"/>
        <w:numPr>
          <w:ilvl w:val="0"/>
          <w:numId w:val="2"/>
        </w:numPr>
        <w:spacing w:after="80" w:line="280"/>
      </w:pPr>
      <w:r>
        <w:rPr>
          <w:rFonts w:ascii="Arial" w:cs="Arial" w:eastAsia="Arial" w:hAnsi="Arial"/>
          <w:b/>
          <w:bCs/>
          <w:sz w:val="22"/>
          <w:szCs w:val="22"/>
        </w:rPr>
        <w:t xml:space="preserve">Timeout or rate limit: </w:t>
      </w:r>
      <w:r>
        <w:rPr>
          <w:rFonts w:ascii="Arial" w:cs="Arial" w:eastAsia="Arial" w:hAnsi="Arial"/>
          <w:sz w:val="22"/>
          <w:szCs w:val="22"/>
        </w:rPr>
        <w:t xml:space="preserve">Show a contextual error message: "I can review your tech allocation once the service recovers. Try again in a moment."</w:t>
      </w:r>
    </w:p>
    <w:p>
      <w:pPr>
        <w:pStyle w:val="ListParagraph"/>
        <w:numPr>
          <w:ilvl w:val="0"/>
          <w:numId w:val="2"/>
        </w:numPr>
        <w:spacing w:after="80" w:line="280"/>
      </w:pPr>
      <w:r>
        <w:rPr>
          <w:rFonts w:ascii="Arial" w:cs="Arial" w:eastAsia="Arial" w:hAnsi="Arial"/>
          <w:b/>
          <w:bCs/>
          <w:sz w:val="22"/>
          <w:szCs w:val="22"/>
        </w:rPr>
        <w:t xml:space="preserve">Data unavailable: </w:t>
      </w:r>
      <w:r>
        <w:rPr>
          <w:rFonts w:ascii="Arial" w:cs="Arial" w:eastAsia="Arial" w:hAnsi="Arial"/>
          <w:sz w:val="22"/>
          <w:szCs w:val="22"/>
        </w:rPr>
        <w:t xml:space="preserve">Show a specific message: "I can review your tech allocation once your latest holdings sync completes."</w:t>
      </w:r>
    </w:p>
    <w:p>
      <w:pPr>
        <w:pStyle w:val="Heading2"/>
      </w:pPr>
      <w:r>
        <w:t xml:space="preserve">7.2 Validation Function</w:t>
      </w:r>
    </w:p>
    <w:p>
      <w:pPr>
        <w:spacing w:after="160" w:line="300"/>
        <w:jc w:val="left"/>
      </w:pPr>
      <w:r>
        <w:rPr>
          <w:rFonts w:ascii="Arial" w:cs="Arial" w:eastAsia="Arial" w:hAnsi="Arial"/>
          <w:color w:val="2D2D2D"/>
          <w:sz w:val="22"/>
          <w:szCs w:val="22"/>
        </w:rPr>
        <w:t xml:space="preserve">The companion TypeScript artifact includes a validateResponse() function that checks version, headline presence, and blocks array structure. It returns either a validated envelope or an AdaErrorPayload with the showRawFallback flag set to true and the raw text preserved.</w:t>
      </w:r>
    </w:p>
    <w:p>
      <w:pPr>
        <w:spacing w:after="160" w:line="300"/>
        <w:jc w:val="left"/>
      </w:pPr>
      <w:r>
        <w:rPr>
          <w:rFonts w:ascii="Arial" w:cs="Arial" w:eastAsia="Arial" w:hAnsi="Arial"/>
          <w:color w:val="2D2D2D"/>
          <w:sz w:val="22"/>
          <w:szCs w:val="22"/>
        </w:rPr>
        <w:t xml:space="preserve">This function should be called immediately when the [STRUCTURED] SSE event arrives, before any rendering. If validation fails, the frontend transitions to fallback rendering in the same animation frame, avoiding a visible flicker.</w:t>
      </w:r>
    </w:p>
    <w:p>
      <w:pPr>
        <w:pStyle w:val="Heading2"/>
      </w:pPr>
      <w:r>
        <w:t xml:space="preserve">7.3 Monitoring</w:t>
      </w:r>
    </w:p>
    <w:p>
      <w:pPr>
        <w:spacing w:after="160" w:line="300"/>
        <w:jc w:val="left"/>
      </w:pPr>
      <w:r>
        <w:rPr>
          <w:rFonts w:ascii="Arial" w:cs="Arial" w:eastAsia="Arial" w:hAnsi="Arial"/>
          <w:color w:val="2D2D2D"/>
          <w:sz w:val="22"/>
          <w:szCs w:val="22"/>
        </w:rPr>
        <w:t xml:space="preserve">Every validation failure should emit a PostHog event (response_validation_failed) with properties: intent, error code, raw text length, and session ID. This enables tracking the structured response success rate and identifying which intents produce the most malformed output, informing prompt engineering priorities.</w:t>
      </w:r>
    </w:p>
    <w:p>
      <w:r>
        <w:br w:type="page"/>
      </w:r>
    </w:p>
    <w:p>
      <w:pPr>
        <w:pStyle w:val="Heading1"/>
      </w:pPr>
      <w:r>
        <w:t xml:space="preserve">8. Frontend Component Registry</w:t>
      </w:r>
    </w:p>
    <w:p>
      <w:pPr>
        <w:spacing w:after="160" w:line="300"/>
        <w:jc w:val="left"/>
      </w:pPr>
      <w:r>
        <w:rPr>
          <w:rFonts w:ascii="Arial" w:cs="Arial" w:eastAsia="Arial" w:hAnsi="Arial"/>
          <w:color w:val="2D2D2D"/>
          <w:sz w:val="22"/>
          <w:szCs w:val="22"/>
        </w:rPr>
        <w:t xml:space="preserve">The component registry maps each block type to a React component. The ChatResponseRenderer uses this registry to dynamically select and render the correct component for each block in the envelope.</w:t>
      </w:r>
    </w:p>
    <w:p>
      <w:pPr>
        <w:pStyle w:val="Heading2"/>
      </w:pPr>
      <w:r>
        <w:t xml:space="preserve">8.1 Registry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 Type</w:t>
            </w:r>
          </w:p>
        </w:tc>
        <w:tc>
          <w:tcPr>
            <w:tcW w:type="dxa" w:w="27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4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Props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metrics_row</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MetricsRow</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metrics: MetricItem[]</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section</w:t>
            </w:r>
          </w:p>
        </w:tc>
        <w:tc>
          <w:tcPr>
            <w:tcW w:type="dxa" w:w="2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Section</w:t>
            </w:r>
          </w:p>
        </w:tc>
        <w:tc>
          <w:tcPr>
            <w:tcW w:type="dxa" w:w="4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heading, body, collapsible, collapseLabel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holdings_table</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HoldingsTable</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columns, rows, defaultSort</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allocation_card</w:t>
            </w:r>
          </w:p>
        </w:tc>
        <w:tc>
          <w:tcPr>
            <w:tcW w:type="dxa" w:w="2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AllocationCard</w:t>
            </w:r>
          </w:p>
        </w:tc>
        <w:tc>
          <w:tcPr>
            <w:tcW w:type="dxa" w:w="4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dimension, segments, targetSegments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mini_chart</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MiniChart</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chartType, title, data, compareSeries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comparison</w:t>
            </w:r>
          </w:p>
        </w:tc>
        <w:tc>
          <w:tcPr>
            <w:tcW w:type="dxa" w:w="2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ComparisonCard</w:t>
            </w:r>
          </w:p>
        </w:tc>
        <w:tc>
          <w:tcPr>
            <w:tcW w:type="dxa" w:w="4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items, dimensions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risk_card</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RiskCard</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riskType, severity, title, description, metric</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opportunity_card</w:t>
            </w:r>
          </w:p>
        </w:tc>
        <w:tc>
          <w:tcPr>
            <w:tcW w:type="dxa" w:w="2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OpportunityCard</w:t>
            </w:r>
          </w:p>
        </w:tc>
        <w:tc>
          <w:tcPr>
            <w:tcW w:type="dxa" w:w="4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category, title, description, terms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alert_banner</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AlertBanner</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severity, title, message, action</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scenario</w:t>
            </w:r>
          </w:p>
        </w:tc>
        <w:tc>
          <w:tcPr>
            <w:tcW w:type="dxa" w:w="27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ScenarioCard</w:t>
            </w:r>
          </w:p>
        </w:tc>
        <w:tc>
          <w:tcPr>
            <w:tcW w:type="dxa" w:w="4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title, before, after, impact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advisor_cta</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AdvisorCta</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actions: AdvisorAction[]</w:t>
            </w:r>
          </w:p>
        </w:tc>
      </w:tr>
    </w:tbl>
    <w:p>
      <w:pPr>
        <w:spacing w:after="120"/>
      </w:pPr>
    </w:p>
    <w:p>
      <w:pPr>
        <w:pStyle w:val="Heading2"/>
      </w:pPr>
      <w:r>
        <w:t xml:space="preserve">8.2 Renderer Pattern</w:t>
      </w:r>
    </w:p>
    <w:p>
      <w:pPr>
        <w:spacing w:after="160" w:line="300"/>
        <w:jc w:val="left"/>
      </w:pPr>
      <w:r>
        <w:rPr>
          <w:rFonts w:ascii="Arial" w:cs="Arial" w:eastAsia="Arial" w:hAnsi="Arial"/>
          <w:color w:val="2D2D2D"/>
          <w:sz w:val="22"/>
          <w:szCs w:val="22"/>
        </w:rPr>
        <w:t xml:space="preserve">The ChatResponseRenderer is a single React component that receives an AdaResponseEnvelope and renders it:</w:t>
      </w:r>
    </w:p>
    <w:p>
      <w:pPr>
        <w:spacing w:after="40" w:line="240"/>
        <w:ind w:left="360"/>
      </w:pPr>
      <w:r>
        <w:rPr>
          <w:rFonts w:ascii="Courier New" w:cs="Courier New" w:eastAsia="Courier New" w:hAnsi="Courier New"/>
          <w:color w:val="2D2D2D"/>
          <w:sz w:val="18"/>
          <w:szCs w:val="18"/>
        </w:rPr>
        <w:t xml:space="preserve">function ChatResponseRenderer({ envelope }: { envelope: AdaResponseEnvelope }) {</w:t>
      </w:r>
    </w:p>
    <w:p>
      <w:pPr>
        <w:spacing w:after="40" w:line="240"/>
        <w:ind w:left="360"/>
      </w:pPr>
      <w:r>
        <w:rPr>
          <w:rFonts w:ascii="Courier New" w:cs="Courier New" w:eastAsia="Courier New" w:hAnsi="Courier New"/>
          <w:color w:val="2D2D2D"/>
          <w:sz w:val="18"/>
          <w:szCs w:val="18"/>
        </w:rPr>
        <w:t xml:space="preserve">  return (</w:t>
      </w:r>
    </w:p>
    <w:p>
      <w:pPr>
        <w:spacing w:after="40" w:line="240"/>
        <w:ind w:left="360"/>
      </w:pPr>
      <w:r>
        <w:rPr>
          <w:rFonts w:ascii="Courier New" w:cs="Courier New" w:eastAsia="Courier New" w:hAnsi="Courier New"/>
          <w:color w:val="2D2D2D"/>
          <w:sz w:val="18"/>
          <w:szCs w:val="18"/>
        </w:rPr>
        <w:t xml:space="preserve">    &lt;div className="ada-response"&gt;</w:t>
      </w:r>
    </w:p>
    <w:p>
      <w:pPr>
        <w:spacing w:after="40" w:line="240"/>
        <w:ind w:left="360"/>
      </w:pPr>
      <w:r>
        <w:rPr>
          <w:rFonts w:ascii="Courier New" w:cs="Courier New" w:eastAsia="Courier New" w:hAnsi="Courier New"/>
          <w:color w:val="2D2D2D"/>
          <w:sz w:val="18"/>
          <w:szCs w:val="18"/>
        </w:rPr>
        <w:t xml:space="preserve">      &lt;Headline text={envelope.headline} /&gt;</w:t>
      </w:r>
    </w:p>
    <w:p>
      <w:pPr>
        <w:spacing w:after="40" w:line="240"/>
        <w:ind w:left="360"/>
      </w:pPr>
      <w:r>
        <w:rPr>
          <w:rFonts w:ascii="Courier New" w:cs="Courier New" w:eastAsia="Courier New" w:hAnsi="Courier New"/>
          <w:color w:val="2D2D2D"/>
          <w:sz w:val="18"/>
          <w:szCs w:val="18"/>
        </w:rPr>
        <w:t xml:space="preserve">      {envelope.blocks.map((block, i) =&gt; {</w:t>
      </w:r>
    </w:p>
    <w:p>
      <w:pPr>
        <w:spacing w:after="40" w:line="240"/>
        <w:ind w:left="360"/>
      </w:pPr>
      <w:r>
        <w:rPr>
          <w:rFonts w:ascii="Courier New" w:cs="Courier New" w:eastAsia="Courier New" w:hAnsi="Courier New"/>
          <w:color w:val="2D2D2D"/>
          <w:sz w:val="18"/>
          <w:szCs w:val="18"/>
        </w:rPr>
        <w:t xml:space="preserve">        const Component = COMPONENT_REGISTRY[block.type];</w:t>
      </w:r>
    </w:p>
    <w:p>
      <w:pPr>
        <w:spacing w:after="40" w:line="240"/>
        <w:ind w:left="360"/>
      </w:pPr>
      <w:r>
        <w:rPr>
          <w:rFonts w:ascii="Courier New" w:cs="Courier New" w:eastAsia="Courier New" w:hAnsi="Courier New"/>
          <w:color w:val="2D2D2D"/>
          <w:sz w:val="18"/>
          <w:szCs w:val="18"/>
        </w:rPr>
        <w:t xml:space="preserve">        return &lt;Component key={i} {...block} /&gt;;</w:t>
      </w:r>
    </w:p>
    <w:p>
      <w:pPr>
        <w:spacing w:after="40" w:line="240"/>
        <w:ind w:left="360"/>
      </w:pPr>
      <w:r>
        <w:rPr>
          <w:rFonts w:ascii="Courier New" w:cs="Courier New" w:eastAsia="Courier New" w:hAnsi="Courier New"/>
          <w:color w:val="2D2D2D"/>
          <w:sz w:val="18"/>
          <w:szCs w:val="18"/>
        </w:rPr>
        <w:t xml:space="preserve">      })}</w:t>
      </w:r>
    </w:p>
    <w:p>
      <w:pPr>
        <w:spacing w:after="40" w:line="240"/>
        <w:ind w:left="360"/>
      </w:pPr>
      <w:r>
        <w:rPr>
          <w:rFonts w:ascii="Courier New" w:cs="Courier New" w:eastAsia="Courier New" w:hAnsi="Courier New"/>
          <w:color w:val="2D2D2D"/>
          <w:sz w:val="18"/>
          <w:szCs w:val="18"/>
        </w:rPr>
        <w:t xml:space="preserve">      &lt;FollowUpChips chips={envelope.followUps} /&gt;</w:t>
      </w:r>
    </w:p>
    <w:p>
      <w:pPr>
        <w:spacing w:after="40" w:line="240"/>
        <w:ind w:left="360"/>
      </w:pPr>
      <w:r>
        <w:rPr>
          <w:rFonts w:ascii="Courier New" w:cs="Courier New" w:eastAsia="Courier New" w:hAnsi="Courier New"/>
          <w:color w:val="2D2D2D"/>
          <w:sz w:val="18"/>
          <w:szCs w:val="18"/>
        </w:rPr>
        <w:t xml:space="preserve">      &lt;SourcesTray sources={envelope.sources} /&gt;</w:t>
      </w:r>
    </w:p>
    <w:p>
      <w:pPr>
        <w:spacing w:after="40" w:line="240"/>
        <w:ind w:left="360"/>
      </w:pPr>
      <w:r>
        <w:rPr>
          <w:rFonts w:ascii="Courier New" w:cs="Courier New" w:eastAsia="Courier New" w:hAnsi="Courier New"/>
          <w:color w:val="2D2D2D"/>
          <w:sz w:val="18"/>
          <w:szCs w:val="18"/>
        </w:rPr>
        <w:t xml:space="preserve">      &lt;DisclaimerTray text={envelope.disclaimer} /&gt;</w:t>
      </w:r>
    </w:p>
    <w:p>
      <w:pPr>
        <w:spacing w:after="40" w:line="240"/>
        <w:ind w:left="360"/>
      </w:pPr>
      <w:r>
        <w:rPr>
          <w:rFonts w:ascii="Courier New" w:cs="Courier New" w:eastAsia="Courier New" w:hAnsi="Courier New"/>
          <w:color w:val="2D2D2D"/>
          <w:sz w:val="18"/>
          <w:szCs w:val="18"/>
        </w:rPr>
        <w:t xml:space="preserve">    &lt;/div&gt;</w:t>
      </w:r>
    </w:p>
    <w:p>
      <w:pPr>
        <w:spacing w:after="40" w:line="240"/>
        <w:ind w:left="360"/>
      </w:pPr>
      <w:r>
        <w:rPr>
          <w:rFonts w:ascii="Courier New" w:cs="Courier New" w:eastAsia="Courier New" w:hAnsi="Courier New"/>
          <w:color w:val="2D2D2D"/>
          <w:sz w:val="18"/>
          <w:szCs w:val="18"/>
        </w:rPr>
        <w:t xml:space="preserve">  );</w:t>
      </w:r>
    </w:p>
    <w:p>
      <w:pPr>
        <w:spacing w:after="40" w:line="240"/>
        <w:ind w:left="360"/>
      </w:pPr>
      <w:r>
        <w:rPr>
          <w:rFonts w:ascii="Courier New" w:cs="Courier New" w:eastAsia="Courier New" w:hAnsi="Courier New"/>
          <w:color w:val="2D2D2D"/>
          <w:sz w:val="18"/>
          <w:szCs w:val="18"/>
        </w:rPr>
        <w:t xml:space="preserve">}</w:t>
      </w:r>
    </w:p>
    <w:p>
      <w:pPr>
        <w:spacing w:after="80"/>
      </w:pPr>
    </w:p>
    <w:p>
      <w:pPr>
        <w:spacing w:after="160" w:line="300"/>
        <w:jc w:val="left"/>
      </w:pPr>
      <w:r>
        <w:rPr>
          <w:rFonts w:ascii="Arial" w:cs="Arial" w:eastAsia="Arial" w:hAnsi="Arial"/>
          <w:color w:val="2D2D2D"/>
          <w:sz w:val="22"/>
          <w:szCs w:val="22"/>
        </w:rPr>
        <w:t xml:space="preserve">The key property of this pattern is extensibility: adding a new block type requires only creating a new React component and adding one entry to the registry. No changes to the renderer itself.</w:t>
      </w:r>
    </w:p>
    <w:p>
      <w:pPr>
        <w:pStyle w:val="Heading2"/>
      </w:pPr>
      <w:r>
        <w:t xml:space="preserve">8.3 Component Design Principles</w:t>
      </w:r>
    </w:p>
    <w:p>
      <w:pPr>
        <w:pStyle w:val="ListParagraph"/>
        <w:numPr>
          <w:ilvl w:val="0"/>
          <w:numId w:val="2"/>
        </w:numPr>
        <w:spacing w:after="80" w:line="280"/>
      </w:pPr>
      <w:r>
        <w:rPr>
          <w:rFonts w:ascii="Arial" w:cs="Arial" w:eastAsia="Arial" w:hAnsi="Arial"/>
          <w:b/>
          <w:bCs/>
          <w:sz w:val="22"/>
          <w:szCs w:val="22"/>
        </w:rPr>
        <w:t xml:space="preserve">Self-contained: </w:t>
      </w:r>
      <w:r>
        <w:rPr>
          <w:rFonts w:ascii="Arial" w:cs="Arial" w:eastAsia="Arial" w:hAnsi="Arial"/>
          <w:sz w:val="22"/>
          <w:szCs w:val="22"/>
        </w:rPr>
        <w:t xml:space="preserve">Each block component receives all the data it needs via props. No component fetches its own data or reads from global state.</w:t>
      </w:r>
    </w:p>
    <w:p>
      <w:pPr>
        <w:pStyle w:val="ListParagraph"/>
        <w:numPr>
          <w:ilvl w:val="0"/>
          <w:numId w:val="2"/>
        </w:numPr>
        <w:spacing w:after="80" w:line="280"/>
      </w:pPr>
      <w:r>
        <w:rPr>
          <w:rFonts w:ascii="Arial" w:cs="Arial" w:eastAsia="Arial" w:hAnsi="Arial"/>
          <w:b/>
          <w:bCs/>
          <w:sz w:val="22"/>
          <w:szCs w:val="22"/>
        </w:rPr>
        <w:t xml:space="preserve">Consistent styling: </w:t>
      </w:r>
      <w:r>
        <w:rPr>
          <w:rFonts w:ascii="Arial" w:cs="Arial" w:eastAsia="Arial" w:hAnsi="Arial"/>
          <w:sz w:val="22"/>
          <w:szCs w:val="22"/>
        </w:rPr>
        <w:t xml:space="preserve">All components use Ada design tokens (Tailwind CSS 4 + Radix UI primitives). No inline styles, no component-specific CSS files.</w:t>
      </w:r>
    </w:p>
    <w:p>
      <w:pPr>
        <w:pStyle w:val="ListParagraph"/>
        <w:numPr>
          <w:ilvl w:val="0"/>
          <w:numId w:val="2"/>
        </w:numPr>
        <w:spacing w:after="80" w:line="280"/>
      </w:pPr>
      <w:r>
        <w:rPr>
          <w:rFonts w:ascii="Arial" w:cs="Arial" w:eastAsia="Arial" w:hAnsi="Arial"/>
          <w:b/>
          <w:bCs/>
          <w:sz w:val="22"/>
          <w:szCs w:val="22"/>
        </w:rPr>
        <w:t xml:space="preserve">Accessible: </w:t>
      </w:r>
      <w:r>
        <w:rPr>
          <w:rFonts w:ascii="Arial" w:cs="Arial" w:eastAsia="Arial" w:hAnsi="Arial"/>
          <w:sz w:val="22"/>
          <w:szCs w:val="22"/>
        </w:rPr>
        <w:t xml:space="preserve">Tables have proper ARIA roles. Charts include alt text. Color is never the sole indicator (always paired with text/icon).</w:t>
      </w:r>
    </w:p>
    <w:p>
      <w:pPr>
        <w:pStyle w:val="ListParagraph"/>
        <w:numPr>
          <w:ilvl w:val="0"/>
          <w:numId w:val="2"/>
        </w:numPr>
        <w:spacing w:after="80" w:line="280"/>
      </w:pPr>
      <w:r>
        <w:rPr>
          <w:rFonts w:ascii="Arial" w:cs="Arial" w:eastAsia="Arial" w:hAnsi="Arial"/>
          <w:b/>
          <w:bCs/>
          <w:sz w:val="22"/>
          <w:szCs w:val="22"/>
        </w:rPr>
        <w:t xml:space="preserve">Demo-aware: </w:t>
      </w:r>
      <w:r>
        <w:rPr>
          <w:rFonts w:ascii="Arial" w:cs="Arial" w:eastAsia="Arial" w:hAnsi="Arial"/>
          <w:sz w:val="22"/>
          <w:szCs w:val="22"/>
        </w:rPr>
        <w:t xml:space="preserve">Components that trigger actions (advisor CTA, follow-up chips) check the demo flag and show simulated confirmations rather than making real API calls.</w:t>
      </w:r>
    </w:p>
    <w:p>
      <w:r>
        <w:br w:type="page"/>
      </w:r>
    </w:p>
    <w:p>
      <w:pPr>
        <w:pStyle w:val="Heading1"/>
      </w:pPr>
      <w:r>
        <w:t xml:space="preserve">9. Token Cost Analysis</w:t>
      </w:r>
    </w:p>
    <w:p>
      <w:pPr>
        <w:spacing w:after="160" w:line="300"/>
        <w:jc w:val="left"/>
      </w:pPr>
      <w:r>
        <w:rPr>
          <w:rFonts w:ascii="Arial" w:cs="Arial" w:eastAsia="Arial" w:hAnsi="Arial"/>
          <w:color w:val="2D2D2D"/>
          <w:sz w:val="22"/>
          <w:szCs w:val="22"/>
        </w:rPr>
        <w:t xml:space="preserve">Structured JSON output is inherently more verbose than free-form text. The protocol introduces additional output tokens for JSON structure (keys, braces, arrays), typed metadata (block types, source references), and redundancy (the headline appears both in the stream and in the envelope). This must be quantified against the 4.5x output cost increase already identified for GPT-5.4 on ada-reason.</w:t>
      </w:r>
    </w:p>
    <w:p>
      <w:pPr>
        <w:pStyle w:val="Heading2"/>
      </w:pPr>
      <w:r>
        <w:t xml:space="preserve">9.1 Estimated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60"/>
      </w:tblGrid>
      <w:tr>
        <w:tc>
          <w:tcPr>
            <w:tcW w:type="dxa" w:w="25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Type</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Text-only Tokens</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Structured Tokens</w:t>
            </w:r>
          </w:p>
        </w:tc>
        <w:tc>
          <w:tcPr>
            <w:tcW w:type="dxa" w:w="22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Overhead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allocation_breakdown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~500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~1,400</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+180%</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portfolio_review</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~700</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~1,800</w:t>
            </w:r>
          </w:p>
        </w:tc>
        <w:tc>
          <w:tcPr>
            <w:tcW w:type="dxa" w:w="22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+157%</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educational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~400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~800</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+100%</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general_query</w:t>
            </w:r>
          </w:p>
        </w:tc>
        <w:tc>
          <w:tcPr>
            <w:tcW w:type="dxa" w:w="2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~300</w:t>
            </w:r>
          </w:p>
        </w:tc>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~600</w:t>
            </w:r>
          </w:p>
        </w:tc>
        <w:tc>
          <w:tcPr>
            <w:tcW w:type="dxa" w:w="22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+100%</w:t>
            </w:r>
          </w:p>
        </w:tc>
      </w:tr>
    </w:tbl>
    <w:p>
      <w:pPr>
        <w:spacing w:after="80"/>
      </w:pPr>
    </w:p>
    <w:p>
      <w:pPr>
        <w:spacing w:after="160" w:line="300"/>
        <w:jc w:val="left"/>
      </w:pPr>
      <w:r>
        <w:rPr>
          <w:rFonts w:ascii="Arial" w:cs="Arial" w:eastAsia="Arial" w:hAnsi="Arial"/>
          <w:color w:val="2D2D2D"/>
          <w:sz w:val="22"/>
          <w:szCs w:val="22"/>
        </w:rPr>
        <w:t xml:space="preserve">The overhead is significant but expected. The structured response replaces what would otherwise be frontend-side parsing and extraction (which is fragile, error-prone, and requires maintenance). The cost is paid in LLM output tokens instead of engineering time.</w:t>
      </w:r>
    </w:p>
    <w:p>
      <w:pPr>
        <w:pStyle w:val="Heading2"/>
      </w:pPr>
      <w:r>
        <w:t xml:space="preserve">9.2 Mitigation Strategies</w:t>
      </w:r>
    </w:p>
    <w:p>
      <w:pPr>
        <w:pStyle w:val="ListParagraph"/>
        <w:numPr>
          <w:ilvl w:val="0"/>
          <w:numId w:val="2"/>
        </w:numPr>
        <w:spacing w:after="80" w:line="280"/>
      </w:pPr>
      <w:r>
        <w:rPr>
          <w:rFonts w:ascii="Arial" w:cs="Arial" w:eastAsia="Arial" w:hAnsi="Arial"/>
          <w:b/>
          <w:bCs/>
          <w:sz w:val="22"/>
          <w:szCs w:val="22"/>
        </w:rPr>
        <w:t xml:space="preserve">Intent-gated complexity: </w:t>
      </w:r>
      <w:r>
        <w:rPr>
          <w:rFonts w:ascii="Arial" w:cs="Arial" w:eastAsia="Arial" w:hAnsi="Arial"/>
          <w:sz w:val="22"/>
          <w:szCs w:val="22"/>
        </w:rPr>
        <w:t xml:space="preserve">General queries and educational intents use simple templates with fewer blocks, keeping their cost close to text-only.</w:t>
      </w:r>
    </w:p>
    <w:p>
      <w:pPr>
        <w:pStyle w:val="ListParagraph"/>
        <w:numPr>
          <w:ilvl w:val="0"/>
          <w:numId w:val="2"/>
        </w:numPr>
        <w:spacing w:after="80" w:line="280"/>
      </w:pPr>
      <w:r>
        <w:rPr>
          <w:rFonts w:ascii="Arial" w:cs="Arial" w:eastAsia="Arial" w:hAnsi="Arial"/>
          <w:b/>
          <w:bCs/>
          <w:sz w:val="22"/>
          <w:szCs w:val="22"/>
        </w:rPr>
        <w:t xml:space="preserve">Batch API for non-interactive: </w:t>
      </w:r>
      <w:r>
        <w:rPr>
          <w:rFonts w:ascii="Arial" w:cs="Arial" w:eastAsia="Arial" w:hAnsi="Arial"/>
          <w:sz w:val="22"/>
          <w:szCs w:val="22"/>
        </w:rPr>
        <w:t xml:space="preserve">Pipeline-generated responses (Discover content) should use the OpenAI Batch API for the 50% cost discount, as already identified.</w:t>
      </w:r>
    </w:p>
    <w:p>
      <w:pPr>
        <w:pStyle w:val="ListParagraph"/>
        <w:numPr>
          <w:ilvl w:val="0"/>
          <w:numId w:val="2"/>
        </w:numPr>
        <w:spacing w:after="80" w:line="280"/>
      </w:pPr>
      <w:r>
        <w:rPr>
          <w:rFonts w:ascii="Arial" w:cs="Arial" w:eastAsia="Arial" w:hAnsi="Arial"/>
          <w:b/>
          <w:bCs/>
          <w:sz w:val="22"/>
          <w:szCs w:val="22"/>
        </w:rPr>
        <w:t xml:space="preserve">Response caching: </w:t>
      </w:r>
      <w:r>
        <w:rPr>
          <w:rFonts w:ascii="Arial" w:cs="Arial" w:eastAsia="Arial" w:hAnsi="Arial"/>
          <w:sz w:val="22"/>
          <w:szCs w:val="22"/>
        </w:rPr>
        <w:t xml:space="preserve">For identical queries within the same session, serve the cached envelope rather than re-generating. Cache invalidation on portfolio data change.</w:t>
      </w:r>
    </w:p>
    <w:p>
      <w:pPr>
        <w:pStyle w:val="ListParagraph"/>
        <w:numPr>
          <w:ilvl w:val="0"/>
          <w:numId w:val="2"/>
        </w:numPr>
        <w:spacing w:after="80" w:line="280"/>
      </w:pPr>
      <w:r>
        <w:rPr>
          <w:rFonts w:ascii="Arial" w:cs="Arial" w:eastAsia="Arial" w:hAnsi="Arial"/>
          <w:b/>
          <w:bCs/>
          <w:sz w:val="22"/>
          <w:szCs w:val="22"/>
        </w:rPr>
        <w:t xml:space="preserve">GPT-5.4 canary gating: </w:t>
      </w:r>
      <w:r>
        <w:rPr>
          <w:rFonts w:ascii="Arial" w:cs="Arial" w:eastAsia="Arial" w:hAnsi="Arial"/>
          <w:sz w:val="22"/>
          <w:szCs w:val="22"/>
        </w:rPr>
        <w:t xml:space="preserve">Validate structured output quality on GPT-5.4 before committing. If JSON adherence is poor, retain GPT-4.1 for ada-reason until prompt tuning resolves it.</w:t>
      </w:r>
    </w:p>
    <w:p>
      <w:r>
        <w:br w:type="page"/>
      </w:r>
    </w:p>
    <w:p>
      <w:pPr>
        <w:pStyle w:val="Heading1"/>
      </w:pPr>
      <w:r>
        <w:t xml:space="preserve">10. Follow-Up Chip Architecture</w:t>
      </w:r>
    </w:p>
    <w:p>
      <w:pPr>
        <w:spacing w:after="160" w:line="300"/>
        <w:jc w:val="left"/>
      </w:pPr>
      <w:r>
        <w:rPr>
          <w:rFonts w:ascii="Arial" w:cs="Arial" w:eastAsia="Arial" w:hAnsi="Arial"/>
          <w:color w:val="2D2D2D"/>
          <w:sz w:val="22"/>
          <w:szCs w:val="22"/>
        </w:rPr>
        <w:t xml:space="preserve">Follow-up chips must be context-aware: derived from the actual response content rather than drawn from a generic pool. The current implementation shows static chips that are disconnected from the answer, which feels unintelligent.</w:t>
      </w:r>
    </w:p>
    <w:p>
      <w:pPr>
        <w:pStyle w:val="Heading2"/>
      </w:pPr>
      <w:r>
        <w:t xml:space="preserve">10.1 Generation Strategy</w:t>
      </w:r>
    </w:p>
    <w:p>
      <w:pPr>
        <w:spacing w:after="160" w:line="300"/>
        <w:jc w:val="left"/>
      </w:pPr>
      <w:r>
        <w:rPr>
          <w:rFonts w:ascii="Arial" w:cs="Arial" w:eastAsia="Arial" w:hAnsi="Arial"/>
          <w:color w:val="2D2D2D"/>
          <w:sz w:val="22"/>
          <w:szCs w:val="22"/>
        </w:rPr>
        <w:t xml:space="preserve">Follow-up chips are generated by the LLM as part of the response envelope, not by the frontend. This ensures they reflect the specific data in the response. The prompt fragment instructs ada-reason to suggest 3–4 follow-up actions, each with a display label and the full prompt text that would be sent to ada-classifier if tapped.</w:t>
      </w:r>
    </w:p>
    <w:p>
      <w:pPr>
        <w:pStyle w:val="Heading2"/>
      </w:pPr>
      <w:r>
        <w:t xml:space="preserve">10.2 Example: Allocation Breakdown</w:t>
      </w:r>
    </w:p>
    <w:p>
      <w:pPr>
        <w:spacing w:after="160" w:line="300"/>
        <w:jc w:val="left"/>
      </w:pPr>
      <w:r>
        <w:rPr>
          <w:rFonts w:ascii="Arial" w:cs="Arial" w:eastAsia="Arial" w:hAnsi="Arial"/>
          <w:color w:val="2D2D2D"/>
          <w:sz w:val="22"/>
          <w:szCs w:val="22"/>
        </w:rPr>
        <w:t xml:space="preserve">For a "Review my tech allocation" response with 25.2% tech exposure, the LLM should generate chips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48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Prompt Sent</w:t>
            </w:r>
          </w:p>
        </w:tc>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Rebalance tech to 20%</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Simulate reducing my tech allocation from 25% to 20%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action</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Compare tech vs financials</w:t>
            </w:r>
          </w:p>
        </w:tc>
        <w:tc>
          <w:tcPr>
            <w:tcW w:type="dxa" w:w="4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Compare my tech and financial sector allocations side by side</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compare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Stress test: tech drops 10%</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What happens to my portfolio if tech drops 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risk</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Show tech holdings detail</w:t>
            </w:r>
          </w:p>
        </w:tc>
        <w:tc>
          <w:tcPr>
            <w:tcW w:type="dxa" w:w="48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Show me detailed performance for each tech holding</w:t>
            </w:r>
          </w:p>
        </w:tc>
        <w:tc>
          <w:tcPr>
            <w:tcW w:type="dxa" w:w="20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chart</w:t>
            </w:r>
          </w:p>
        </w:tc>
      </w:tr>
    </w:tbl>
    <w:p>
      <w:pPr>
        <w:spacing w:after="80"/>
      </w:pPr>
    </w:p>
    <w:p>
      <w:pPr>
        <w:spacing w:after="160" w:line="300"/>
        <w:jc w:val="left"/>
      </w:pPr>
      <w:r>
        <w:rPr>
          <w:rFonts w:ascii="Arial" w:cs="Arial" w:eastAsia="Arial" w:hAnsi="Arial"/>
          <w:color w:val="2D2D2D"/>
          <w:sz w:val="22"/>
          <w:szCs w:val="22"/>
        </w:rPr>
        <w:t xml:space="preserve">Notice that each chip encodes the specific context (25%, tech, the comparison target) rather than being generic.</w:t>
      </w:r>
    </w:p>
    <w:p>
      <w:r>
        <w:br w:type="page"/>
      </w:r>
    </w:p>
    <w:p>
      <w:pPr>
        <w:pStyle w:val="Heading1"/>
      </w:pPr>
      <w:r>
        <w:t xml:space="preserve">11. Sources and Disclaimer Rendering</w:t>
      </w:r>
    </w:p>
    <w:p>
      <w:pPr>
        <w:pStyle w:val="Heading2"/>
      </w:pPr>
      <w:r>
        <w:t xml:space="preserve">11.1 Source Chips</w:t>
      </w:r>
    </w:p>
    <w:p>
      <w:pPr>
        <w:spacing w:after="160" w:line="300"/>
        <w:jc w:val="left"/>
      </w:pPr>
      <w:r>
        <w:rPr>
          <w:rFonts w:ascii="Arial" w:cs="Arial" w:eastAsia="Arial" w:hAnsi="Arial"/>
          <w:color w:val="2D2D2D"/>
          <w:sz w:val="22"/>
          <w:szCs w:val="22"/>
        </w:rPr>
        <w:t xml:space="preserve">Sources are rendered as a horizontal row of labeled chips below the response blocks and above the disclaimer tray. Each chip shows a readable label (e.g., "Portfolio snapshot"), a source type icon, and a freshness indicator.</w:t>
      </w:r>
    </w:p>
    <w:p>
      <w:pPr>
        <w:spacing w:after="160" w:line="300"/>
        <w:jc w:val="left"/>
      </w:pPr>
      <w:r>
        <w:rPr>
          <w:rFonts w:ascii="Arial" w:cs="Arial" w:eastAsia="Arial" w:hAnsi="Arial"/>
          <w:color w:val="2D2D2D"/>
          <w:sz w:val="22"/>
          <w:szCs w:val="22"/>
        </w:rPr>
        <w:t xml:space="preserve">Raw placeholder citations like [mock_portfolio] or [market_data] are strictly prohibited. These damage trust immediately. The LLM prompt fragment must instruct the model to use the SourceReference schema; the frontend must never display raw citation brackets.</w:t>
      </w:r>
    </w:p>
    <w:p>
      <w:pPr>
        <w:pStyle w:val="Heading2"/>
      </w:pPr>
      <w:r>
        <w:t xml:space="preserve">11.2 Disclaimer Tray</w:t>
      </w:r>
    </w:p>
    <w:p>
      <w:pPr>
        <w:spacing w:after="160" w:line="300"/>
        <w:jc w:val="left"/>
      </w:pPr>
      <w:r>
        <w:rPr>
          <w:rFonts w:ascii="Arial" w:cs="Arial" w:eastAsia="Arial" w:hAnsi="Arial"/>
          <w:color w:val="2D2D2D"/>
          <w:sz w:val="22"/>
          <w:szCs w:val="22"/>
        </w:rPr>
        <w:t xml:space="preserve">The disclaimer is rendered in a collapsible tray at the bottom of the response. It is collapsed by default with a subtle trigger label ("Regulatory information"). When expanded, it shows the full compliance text in a muted, smaller font. The disclaimer must never appear inline with the response body or compete for visual attention with the headline and metrics.</w:t>
      </w:r>
    </w:p>
    <w:p>
      <w:r>
        <w:br w:type="page"/>
      </w:r>
    </w:p>
    <w:p>
      <w:pPr>
        <w:pStyle w:val="Heading1"/>
      </w:pPr>
      <w:r>
        <w:t xml:space="preserve">12. Example: "Review My Tech Allocation"</w:t>
      </w:r>
    </w:p>
    <w:p>
      <w:pPr>
        <w:spacing w:after="160" w:line="300"/>
        <w:jc w:val="left"/>
      </w:pPr>
      <w:r>
        <w:rPr>
          <w:rFonts w:ascii="Arial" w:cs="Arial" w:eastAsia="Arial" w:hAnsi="Arial"/>
          <w:color w:val="2D2D2D"/>
          <w:sz w:val="22"/>
          <w:szCs w:val="22"/>
        </w:rPr>
        <w:t xml:space="preserve">This section shows what a fully structured response looks like for the query "Review my tech allocation" against Omar’s demo portfolio.</w:t>
      </w:r>
    </w:p>
    <w:p>
      <w:pPr>
        <w:pStyle w:val="Heading2"/>
      </w:pPr>
      <w:r>
        <w:t xml:space="preserve">12.1 Headline (Streamed)</w:t>
      </w:r>
    </w:p>
    <w:p>
      <w:pPr>
        <w:spacing w:after="160" w:line="300"/>
        <w:jc w:val="left"/>
      </w:pPr>
      <w:r>
        <w:rPr>
          <w:rFonts w:ascii="Arial" w:cs="Arial" w:eastAsia="Arial" w:hAnsi="Arial"/>
          <w:i/>
          <w:iCs/>
          <w:color w:val="2D2D2D"/>
          <w:sz w:val="22"/>
          <w:szCs w:val="22"/>
        </w:rPr>
        <w:t xml:space="preserve">"Tech represents 25.2% of your portfolio at $7,899, led by Microsoft, Apple, and NVIDIA, with concentration slightly above the moderate-risk target."</w:t>
      </w:r>
    </w:p>
    <w:p>
      <w:pPr>
        <w:pStyle w:val="Heading2"/>
      </w:pPr>
      <w:r>
        <w:t xml:space="preserve">12.2 Blocks</w:t>
      </w:r>
    </w:p>
    <w:p>
      <w:pPr>
        <w:spacing w:after="160" w:line="300"/>
      </w:pPr>
      <w:r>
        <w:rPr>
          <w:rFonts w:ascii="Arial" w:cs="Arial" w:eastAsia="Arial" w:hAnsi="Arial"/>
          <w:b/>
          <w:bCs/>
          <w:color w:val="2D2D2D"/>
          <w:sz w:val="22"/>
          <w:szCs w:val="22"/>
        </w:rPr>
        <w:t xml:space="preserve">Block 1 — Metrics Row: </w:t>
      </w:r>
      <w:r>
        <w:rPr>
          <w:rFonts w:ascii="Arial" w:cs="Arial" w:eastAsia="Arial" w:hAnsi="Arial"/>
          <w:color w:val="2D2D2D"/>
          <w:sz w:val="22"/>
          <w:szCs w:val="22"/>
        </w:rPr>
        <w:t xml:space="preserve">Tech Exposure: 25.2% | Value: $7,899 | Top Holding: MSFT | YTD: +12.3% ↑</w:t>
      </w:r>
    </w:p>
    <w:p>
      <w:pPr>
        <w:spacing w:after="160" w:line="300"/>
      </w:pPr>
      <w:r>
        <w:rPr>
          <w:rFonts w:ascii="Arial" w:cs="Arial" w:eastAsia="Arial" w:hAnsi="Arial"/>
          <w:b/>
          <w:bCs/>
          <w:color w:val="2D2D2D"/>
          <w:sz w:val="22"/>
          <w:szCs w:val="22"/>
        </w:rPr>
        <w:t xml:space="preserve">Block 2 — Allocation Card: </w:t>
      </w:r>
      <w:r>
        <w:rPr>
          <w:rFonts w:ascii="Arial" w:cs="Arial" w:eastAsia="Arial" w:hAnsi="Arial"/>
          <w:color w:val="2D2D2D"/>
          <w:sz w:val="22"/>
          <w:szCs w:val="22"/>
        </w:rPr>
        <w:t xml:space="preserve">Donut chart showing Tech 25.2%, Bonds 22%, Crypto 8%, Gold 5%, Other 39.8%. Optional target ring showing model target of 22%.</w:t>
      </w:r>
    </w:p>
    <w:p>
      <w:pPr>
        <w:spacing w:after="160" w:line="300"/>
      </w:pPr>
      <w:r>
        <w:rPr>
          <w:rFonts w:ascii="Arial" w:cs="Arial" w:eastAsia="Arial" w:hAnsi="Arial"/>
          <w:b/>
          <w:bCs/>
          <w:color w:val="2D2D2D"/>
          <w:sz w:val="22"/>
          <w:szCs w:val="22"/>
        </w:rPr>
        <w:t xml:space="preserve">Block 3 — Holdings Table: </w:t>
      </w:r>
      <w:r>
        <w:rPr>
          <w:rFonts w:ascii="Arial" w:cs="Arial" w:eastAsia="Arial" w:hAnsi="Arial"/>
          <w:color w:val="2D2D2D"/>
          <w:sz w:val="22"/>
          <w:szCs w:val="22"/>
        </w:rPr>
        <w:t xml:space="preserve">Three rows for MSFT, AAPL, NVDA with columns for value, portfolio weight, gain/loss, and YTD return.</w:t>
      </w:r>
    </w:p>
    <w:p>
      <w:pPr>
        <w:spacing w:after="160" w:line="300"/>
      </w:pPr>
      <w:r>
        <w:rPr>
          <w:rFonts w:ascii="Arial" w:cs="Arial" w:eastAsia="Arial" w:hAnsi="Arial"/>
          <w:b/>
          <w:bCs/>
          <w:color w:val="2D2D2D"/>
          <w:sz w:val="22"/>
          <w:szCs w:val="22"/>
        </w:rPr>
        <w:t xml:space="preserve">Block 4 — Risk Card: </w:t>
      </w:r>
      <w:r>
        <w:rPr>
          <w:rFonts w:ascii="Arial" w:cs="Arial" w:eastAsia="Arial" w:hAnsi="Arial"/>
          <w:color w:val="2D2D2D"/>
          <w:sz w:val="22"/>
          <w:szCs w:val="22"/>
        </w:rPr>
        <w:t xml:space="preserve">Concentration risk: Moderate. "Tech allocation is 3.2 percentage points above your moderate-risk profile target of 22%. This is within acceptable tolerance but worth monitoring."</w:t>
      </w:r>
    </w:p>
    <w:p>
      <w:pPr>
        <w:spacing w:after="160" w:line="300"/>
      </w:pPr>
      <w:r>
        <w:rPr>
          <w:rFonts w:ascii="Arial" w:cs="Arial" w:eastAsia="Arial" w:hAnsi="Arial"/>
          <w:b/>
          <w:bCs/>
          <w:color w:val="2D2D2D"/>
          <w:sz w:val="22"/>
          <w:szCs w:val="22"/>
        </w:rPr>
        <w:t xml:space="preserve">Block 5 — Section (collapsible): </w:t>
      </w:r>
      <w:r>
        <w:rPr>
          <w:rFonts w:ascii="Arial" w:cs="Arial" w:eastAsia="Arial" w:hAnsi="Arial"/>
          <w:color w:val="2D2D2D"/>
          <w:sz w:val="22"/>
          <w:szCs w:val="22"/>
        </w:rPr>
        <w:t xml:space="preserve">"Why this matters" — explanation of sector concentration risk and diversification principles.</w:t>
      </w:r>
    </w:p>
    <w:p>
      <w:pPr>
        <w:pStyle w:val="Heading2"/>
      </w:pPr>
      <w:r>
        <w:t xml:space="preserve">12.3 Follow-Up Chips</w:t>
      </w:r>
    </w:p>
    <w:p>
      <w:pPr>
        <w:spacing w:after="160" w:line="300"/>
        <w:jc w:val="left"/>
      </w:pPr>
      <w:r>
        <w:rPr>
          <w:rFonts w:ascii="Arial" w:cs="Arial" w:eastAsia="Arial" w:hAnsi="Arial"/>
          <w:color w:val="2D2D2D"/>
          <w:sz w:val="22"/>
          <w:szCs w:val="22"/>
        </w:rPr>
        <w:t xml:space="preserve">Rebalance tech to 22% | Compare tech vs bonds | Stress test: tech drops 15% | Show all tech holdings</w:t>
      </w:r>
    </w:p>
    <w:p>
      <w:pPr>
        <w:pStyle w:val="Heading2"/>
      </w:pPr>
      <w:r>
        <w:t xml:space="preserve">12.4 Sources</w:t>
      </w:r>
    </w:p>
    <w:p>
      <w:pPr>
        <w:spacing w:after="160" w:line="300"/>
        <w:jc w:val="left"/>
      </w:pPr>
      <w:r>
        <w:rPr>
          <w:rFonts w:ascii="Arial" w:cs="Arial" w:eastAsia="Arial" w:hAnsi="Arial"/>
          <w:color w:val="2D2D2D"/>
          <w:sz w:val="22"/>
          <w:szCs w:val="22"/>
        </w:rPr>
        <w:t xml:space="preserve">Portfolio snapshot (10:32 AM) | Market data (delayed 15m) | Model estimate (CIO Framework v2)</w:t>
      </w:r>
    </w:p>
    <w:p>
      <w:r>
        <w:br w:type="page"/>
      </w:r>
    </w:p>
    <w:p>
      <w:pPr>
        <w:pStyle w:val="Heading1"/>
      </w:pPr>
      <w:r>
        <w:t xml:space="preserve">13. MVP Scope</w:t>
      </w:r>
    </w:p>
    <w:p>
      <w:pPr>
        <w:spacing w:after="160" w:line="300"/>
        <w:jc w:val="left"/>
      </w:pPr>
      <w:r>
        <w:rPr>
          <w:rFonts w:ascii="Arial" w:cs="Arial" w:eastAsia="Arial" w:hAnsi="Arial"/>
          <w:color w:val="2D2D2D"/>
          <w:sz w:val="22"/>
          <w:szCs w:val="22"/>
        </w:rPr>
        <w:t xml:space="preserve">The MVP focuses on the minimum set of blocks and infrastructure needed to make Ada responses feel structured and intelligent for the demo. Blocks are prioritized by their frequency of appearance across the most common demo intents.</w:t>
      </w:r>
    </w:p>
    <w:p>
      <w:pPr>
        <w:pStyle w:val="Heading2"/>
      </w:pPr>
      <w:r>
        <w:t xml:space="preserve">13.1 MVP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w:t>
            </w:r>
          </w:p>
        </w:tc>
        <w:tc>
          <w:tcPr>
            <w:tcW w:type="dxa" w:w="1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6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metrics_row</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MVP</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Appears in every financial response. Highest visual impact.</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section</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MVP</w:t>
            </w:r>
          </w:p>
        </w:tc>
        <w:tc>
          <w:tcPr>
            <w:tcW w:type="dxa" w:w="56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Needed for all explanatory text. Enables collapsible progressive disclosure.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holdings_table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MVP</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Core to portfolio review, allocation, and holding queries.</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allocation_card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MVP</w:t>
            </w:r>
          </w:p>
        </w:tc>
        <w:tc>
          <w:tcPr>
            <w:tcW w:type="dxa" w:w="56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Essential for the allocation_breakdown intent, which is the primary demo flow.</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risk_card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MVP</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Supports risk_check intent and appears as a secondary block in portfolio reviews.</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alert_banner</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MVP</w:t>
            </w:r>
          </w:p>
        </w:tc>
        <w:tc>
          <w:tcPr>
            <w:tcW w:type="dxa" w:w="56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Simple to implement. High impact for market_impact and risk intents.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advisor_cta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MVP</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Demonstrates the "copilot to action" bridge. Can be demo-simulated.</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mini_chart</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Next</w:t>
            </w:r>
          </w:p>
        </w:tc>
        <w:tc>
          <w:tcPr>
            <w:tcW w:type="dxa" w:w="56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Recharts integration is straightforward but chart data formatting needs tuning.</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comparison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Next</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Requires side-by-side layout work.</w:t>
            </w:r>
          </w:p>
        </w:tc>
      </w:tr>
      <w:tr>
        <w:tc>
          <w:tcPr>
            <w:tcW w:type="dxa" w:w="25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opportunity_card</w:t>
            </w:r>
          </w:p>
        </w:tc>
        <w:tc>
          <w:tcPr>
            <w:tcW w:type="dxa" w:w="12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Next</w:t>
            </w:r>
          </w:p>
        </w:tc>
        <w:tc>
          <w:tcPr>
            <w:tcW w:type="dxa" w:w="56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2D2D2D"/>
                <w:sz w:val="20"/>
                <w:szCs w:val="20"/>
              </w:rPr>
              <w:t xml:space="preserve">Lower-frequency intent in demo.</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scenario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Later</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Most complex block. Needs reliable LLM calculation.</w:t>
            </w:r>
          </w:p>
        </w:tc>
      </w:tr>
    </w:tbl>
    <w:p>
      <w:pPr>
        <w:spacing w:after="120"/>
      </w:pPr>
    </w:p>
    <w:p>
      <w:pPr>
        <w:pStyle w:val="Heading2"/>
      </w:pPr>
      <w:r>
        <w:t xml:space="preserve">13.2 MVP Infrastructure</w:t>
      </w:r>
    </w:p>
    <w:p>
      <w:pPr>
        <w:pStyle w:val="ListParagraph"/>
        <w:numPr>
          <w:ilvl w:val="0"/>
          <w:numId w:val="2"/>
        </w:numPr>
        <w:spacing w:after="80" w:line="280"/>
      </w:pPr>
      <w:r>
        <w:rPr>
          <w:rFonts w:ascii="Arial" w:cs="Arial" w:eastAsia="Arial" w:hAnsi="Arial"/>
          <w:b/>
          <w:bCs/>
          <w:sz w:val="22"/>
          <w:szCs w:val="22"/>
        </w:rPr>
        <w:t xml:space="preserve">Response envelope schema: </w:t>
      </w:r>
      <w:r>
        <w:rPr>
          <w:rFonts w:ascii="Arial" w:cs="Arial" w:eastAsia="Arial" w:hAnsi="Arial"/>
          <w:sz w:val="22"/>
          <w:szCs w:val="22"/>
        </w:rPr>
        <w:t xml:space="preserve">TypeScript interfaces in companion artifact. Wire into the Express API layer.</w:t>
      </w:r>
    </w:p>
    <w:p>
      <w:pPr>
        <w:pStyle w:val="ListParagraph"/>
        <w:numPr>
          <w:ilvl w:val="0"/>
          <w:numId w:val="2"/>
        </w:numPr>
        <w:spacing w:after="80" w:line="280"/>
      </w:pPr>
      <w:r>
        <w:rPr>
          <w:rFonts w:ascii="Arial" w:cs="Arial" w:eastAsia="Arial" w:hAnsi="Arial"/>
          <w:b/>
          <w:bCs/>
          <w:sz w:val="22"/>
          <w:szCs w:val="22"/>
        </w:rPr>
        <w:t xml:space="preserve">Hybrid streaming: </w:t>
      </w:r>
      <w:r>
        <w:rPr>
          <w:rFonts w:ascii="Arial" w:cs="Arial" w:eastAsia="Arial" w:hAnsi="Arial"/>
          <w:sz w:val="22"/>
          <w:szCs w:val="22"/>
        </w:rPr>
        <w:t xml:space="preserve">SSE endpoint that streams headline tokens then emits a [STRUCTURED] event with the JSON envelope.</w:t>
      </w:r>
    </w:p>
    <w:p>
      <w:pPr>
        <w:pStyle w:val="ListParagraph"/>
        <w:numPr>
          <w:ilvl w:val="0"/>
          <w:numId w:val="2"/>
        </w:numPr>
        <w:spacing w:after="80" w:line="280"/>
      </w:pPr>
      <w:r>
        <w:rPr>
          <w:rFonts w:ascii="Arial" w:cs="Arial" w:eastAsia="Arial" w:hAnsi="Arial"/>
          <w:b/>
          <w:bCs/>
          <w:sz w:val="22"/>
          <w:szCs w:val="22"/>
        </w:rPr>
        <w:t xml:space="preserve">ChatResponseRenderer: </w:t>
      </w:r>
      <w:r>
        <w:rPr>
          <w:rFonts w:ascii="Arial" w:cs="Arial" w:eastAsia="Arial" w:hAnsi="Arial"/>
          <w:sz w:val="22"/>
          <w:szCs w:val="22"/>
        </w:rPr>
        <w:t xml:space="preserve">Component registry pattern with dynamic component lookup. Fallback to raw text on validation failure.</w:t>
      </w:r>
    </w:p>
    <w:p>
      <w:pPr>
        <w:pStyle w:val="ListParagraph"/>
        <w:numPr>
          <w:ilvl w:val="0"/>
          <w:numId w:val="2"/>
        </w:numPr>
        <w:spacing w:after="80" w:line="280"/>
      </w:pPr>
      <w:r>
        <w:rPr>
          <w:rFonts w:ascii="Arial" w:cs="Arial" w:eastAsia="Arial" w:hAnsi="Arial"/>
          <w:b/>
          <w:bCs/>
          <w:sz w:val="22"/>
          <w:szCs w:val="22"/>
        </w:rPr>
        <w:t xml:space="preserve">Three prompt fragments: </w:t>
      </w:r>
      <w:r>
        <w:rPr>
          <w:rFonts w:ascii="Arial" w:cs="Arial" w:eastAsia="Arial" w:hAnsi="Arial"/>
          <w:sz w:val="22"/>
          <w:szCs w:val="22"/>
        </w:rPr>
        <w:t xml:space="preserve">allocation_breakdown, portfolio_review, and general_query cover the primary demo flows.</w:t>
      </w:r>
    </w:p>
    <w:p>
      <w:pPr>
        <w:pStyle w:val="ListParagraph"/>
        <w:numPr>
          <w:ilvl w:val="0"/>
          <w:numId w:val="2"/>
        </w:numPr>
        <w:spacing w:after="80" w:line="280"/>
      </w:pPr>
      <w:r>
        <w:rPr>
          <w:rFonts w:ascii="Arial" w:cs="Arial" w:eastAsia="Arial" w:hAnsi="Arial"/>
          <w:b/>
          <w:bCs/>
          <w:sz w:val="22"/>
          <w:szCs w:val="22"/>
        </w:rPr>
        <w:t xml:space="preserve">Validation + monitoring: </w:t>
      </w:r>
      <w:r>
        <w:rPr>
          <w:rFonts w:ascii="Arial" w:cs="Arial" w:eastAsia="Arial" w:hAnsi="Arial"/>
          <w:sz w:val="22"/>
          <w:szCs w:val="22"/>
        </w:rPr>
        <w:t xml:space="preserve">validateResponse() function plus PostHog event emission on failure.</w:t>
      </w:r>
    </w:p>
    <w:p>
      <w:pPr>
        <w:pStyle w:val="Heading2"/>
      </w:pPr>
      <w:r>
        <w:t xml:space="preserve">13.3 Out of Scope for MVP</w:t>
      </w:r>
    </w:p>
    <w:p>
      <w:pPr>
        <w:pStyle w:val="ListParagraph"/>
        <w:numPr>
          <w:ilvl w:val="0"/>
          <w:numId w:val="2"/>
        </w:numPr>
        <w:spacing w:after="80" w:line="280"/>
      </w:pPr>
      <w:r>
        <w:rPr>
          <w:rFonts w:ascii="Arial" w:cs="Arial" w:eastAsia="Arial" w:hAnsi="Arial"/>
          <w:color w:val="2D2D2D"/>
          <w:sz w:val="22"/>
          <w:szCs w:val="22"/>
        </w:rPr>
        <w:t xml:space="preserve">Scenario blocks and what-if analysis</w:t>
      </w:r>
    </w:p>
    <w:p>
      <w:pPr>
        <w:pStyle w:val="ListParagraph"/>
        <w:numPr>
          <w:ilvl w:val="0"/>
          <w:numId w:val="2"/>
        </w:numPr>
        <w:spacing w:after="80" w:line="280"/>
      </w:pPr>
      <w:r>
        <w:rPr>
          <w:rFonts w:ascii="Arial" w:cs="Arial" w:eastAsia="Arial" w:hAnsi="Arial"/>
          <w:color w:val="2D2D2D"/>
          <w:sz w:val="22"/>
          <w:szCs w:val="22"/>
        </w:rPr>
        <w:t xml:space="preserve">Response caching layer</w:t>
      </w:r>
    </w:p>
    <w:p>
      <w:pPr>
        <w:pStyle w:val="ListParagraph"/>
        <w:numPr>
          <w:ilvl w:val="0"/>
          <w:numId w:val="2"/>
        </w:numPr>
        <w:spacing w:after="80" w:line="280"/>
      </w:pPr>
      <w:r>
        <w:rPr>
          <w:rFonts w:ascii="Arial" w:cs="Arial" w:eastAsia="Arial" w:hAnsi="Arial"/>
          <w:color w:val="2D2D2D"/>
          <w:sz w:val="22"/>
          <w:szCs w:val="22"/>
        </w:rPr>
        <w:t xml:space="preserve">Export / share / save actions (beyond demo simulation)</w:t>
      </w:r>
    </w:p>
    <w:p>
      <w:pPr>
        <w:pStyle w:val="ListParagraph"/>
        <w:numPr>
          <w:ilvl w:val="0"/>
          <w:numId w:val="2"/>
        </w:numPr>
        <w:spacing w:after="80" w:line="280"/>
      </w:pPr>
      <w:r>
        <w:rPr>
          <w:rFonts w:ascii="Arial" w:cs="Arial" w:eastAsia="Arial" w:hAnsi="Arial"/>
          <w:color w:val="2D2D2D"/>
          <w:sz w:val="22"/>
          <w:szCs w:val="22"/>
        </w:rPr>
        <w:t xml:space="preserve">Voice input and audio briefings</w:t>
      </w:r>
    </w:p>
    <w:p>
      <w:pPr>
        <w:pStyle w:val="ListParagraph"/>
        <w:numPr>
          <w:ilvl w:val="0"/>
          <w:numId w:val="2"/>
        </w:numPr>
        <w:spacing w:after="80" w:line="280"/>
      </w:pPr>
      <w:r>
        <w:rPr>
          <w:rFonts w:ascii="Arial" w:cs="Arial" w:eastAsia="Arial" w:hAnsi="Arial"/>
          <w:color w:val="2D2D2D"/>
          <w:sz w:val="22"/>
          <w:szCs w:val="22"/>
        </w:rPr>
        <w:t xml:space="preserve">Document Q&amp;A</w:t>
      </w:r>
    </w:p>
    <w:p>
      <w:pPr>
        <w:pStyle w:val="ListParagraph"/>
        <w:numPr>
          <w:ilvl w:val="0"/>
          <w:numId w:val="2"/>
        </w:numPr>
        <w:spacing w:after="80" w:line="280"/>
      </w:pPr>
      <w:r>
        <w:rPr>
          <w:rFonts w:ascii="Arial" w:cs="Arial" w:eastAsia="Arial" w:hAnsi="Arial"/>
          <w:color w:val="2D2D2D"/>
          <w:sz w:val="22"/>
          <w:szCs w:val="22"/>
        </w:rPr>
        <w:t xml:space="preserve">Cross-tab pinning (pin to Home or Wealth tab)</w:t>
      </w:r>
    </w:p>
    <w:p>
      <w:r>
        <w:br w:type="page"/>
      </w:r>
    </w:p>
    <w:p>
      <w:pPr>
        <w:pStyle w:val="Heading1"/>
      </w:pPr>
      <w:r>
        <w:t xml:space="preserve">14. Implementation Sequence</w:t>
      </w:r>
    </w:p>
    <w:p>
      <w:pPr>
        <w:spacing w:after="160" w:line="300"/>
        <w:jc w:val="left"/>
      </w:pPr>
      <w:r>
        <w:rPr>
          <w:rFonts w:ascii="Arial" w:cs="Arial" w:eastAsia="Arial" w:hAnsi="Arial"/>
          <w:color w:val="2D2D2D"/>
          <w:sz w:val="22"/>
          <w:szCs w:val="22"/>
        </w:rPr>
        <w:t xml:space="preserve">The recommended implementation order is designed to get a working structured response visible in the demo as quickly as possible, then layer on blocks incrementally.</w:t>
      </w:r>
    </w:p>
    <w:p>
      <w:pPr>
        <w:pStyle w:val="ListParagraph"/>
        <w:numPr>
          <w:ilvl w:val="0"/>
          <w:numId w:val="3"/>
        </w:numPr>
        <w:spacing w:after="80" w:line="280"/>
      </w:pPr>
      <w:r>
        <w:rPr>
          <w:rFonts w:ascii="Arial" w:cs="Arial" w:eastAsia="Arial" w:hAnsi="Arial"/>
          <w:b/>
          <w:bCs/>
          <w:sz w:val="22"/>
          <w:szCs w:val="22"/>
        </w:rPr>
        <w:t xml:space="preserve">Step 1: </w:t>
      </w:r>
      <w:r>
        <w:rPr>
          <w:rFonts w:ascii="Arial" w:cs="Arial" w:eastAsia="Arial" w:hAnsi="Arial"/>
          <w:sz w:val="22"/>
          <w:szCs w:val="22"/>
        </w:rPr>
        <w:t xml:space="preserve">Define TypeScript interfaces (companion artifact provides this). Wire into the Express API types.</w:t>
      </w:r>
    </w:p>
    <w:p>
      <w:pPr>
        <w:pStyle w:val="ListParagraph"/>
        <w:numPr>
          <w:ilvl w:val="0"/>
          <w:numId w:val="3"/>
        </w:numPr>
        <w:spacing w:after="80" w:line="280"/>
      </w:pPr>
      <w:r>
        <w:rPr>
          <w:rFonts w:ascii="Arial" w:cs="Arial" w:eastAsia="Arial" w:hAnsi="Arial"/>
          <w:b/>
          <w:bCs/>
          <w:sz w:val="22"/>
          <w:szCs w:val="22"/>
        </w:rPr>
        <w:t xml:space="preserve">Step 2: </w:t>
      </w:r>
      <w:r>
        <w:rPr>
          <w:rFonts w:ascii="Arial" w:cs="Arial" w:eastAsia="Arial" w:hAnsi="Arial"/>
          <w:sz w:val="22"/>
          <w:szCs w:val="22"/>
        </w:rPr>
        <w:t xml:space="preserve">Build ChatResponseRenderer with support for section and metrics_row only. Verify the registry pattern works end-to-end with a hardcoded test envelope.</w:t>
      </w:r>
    </w:p>
    <w:p>
      <w:pPr>
        <w:pStyle w:val="ListParagraph"/>
        <w:numPr>
          <w:ilvl w:val="0"/>
          <w:numId w:val="3"/>
        </w:numPr>
        <w:spacing w:after="80" w:line="280"/>
      </w:pPr>
      <w:r>
        <w:rPr>
          <w:rFonts w:ascii="Arial" w:cs="Arial" w:eastAsia="Arial" w:hAnsi="Arial"/>
          <w:b/>
          <w:bCs/>
          <w:sz w:val="22"/>
          <w:szCs w:val="22"/>
        </w:rPr>
        <w:t xml:space="preserve">Step 3: </w:t>
      </w:r>
      <w:r>
        <w:rPr>
          <w:rFonts w:ascii="Arial" w:cs="Arial" w:eastAsia="Arial" w:hAnsi="Arial"/>
          <w:sz w:val="22"/>
          <w:szCs w:val="22"/>
        </w:rPr>
        <w:t xml:space="preserve">Write the allocation_breakdown prompt fragment. Instruct ada-reason to return a JSON envelope. Test with a real LLM call and validate the output parses correctly.</w:t>
      </w:r>
    </w:p>
    <w:p>
      <w:pPr>
        <w:pStyle w:val="ListParagraph"/>
        <w:numPr>
          <w:ilvl w:val="0"/>
          <w:numId w:val="3"/>
        </w:numPr>
        <w:spacing w:after="80" w:line="280"/>
      </w:pPr>
      <w:r>
        <w:rPr>
          <w:rFonts w:ascii="Arial" w:cs="Arial" w:eastAsia="Arial" w:hAnsi="Arial"/>
          <w:b/>
          <w:bCs/>
          <w:sz w:val="22"/>
          <w:szCs w:val="22"/>
        </w:rPr>
        <w:t xml:space="preserve">Step 4: </w:t>
      </w:r>
      <w:r>
        <w:rPr>
          <w:rFonts w:ascii="Arial" w:cs="Arial" w:eastAsia="Arial" w:hAnsi="Arial"/>
          <w:sz w:val="22"/>
          <w:szCs w:val="22"/>
        </w:rPr>
        <w:t xml:space="preserve">Implement the hybrid streaming endpoint. Stream headline tokens via SSE, then emit the [STRUCTURED] event.</w:t>
      </w:r>
    </w:p>
    <w:p>
      <w:pPr>
        <w:pStyle w:val="ListParagraph"/>
        <w:numPr>
          <w:ilvl w:val="0"/>
          <w:numId w:val="3"/>
        </w:numPr>
        <w:spacing w:after="80" w:line="280"/>
      </w:pPr>
      <w:r>
        <w:rPr>
          <w:rFonts w:ascii="Arial" w:cs="Arial" w:eastAsia="Arial" w:hAnsi="Arial"/>
          <w:b/>
          <w:bCs/>
          <w:sz w:val="22"/>
          <w:szCs w:val="22"/>
        </w:rPr>
        <w:t xml:space="preserve">Step 5: </w:t>
      </w:r>
      <w:r>
        <w:rPr>
          <w:rFonts w:ascii="Arial" w:cs="Arial" w:eastAsia="Arial" w:hAnsi="Arial"/>
          <w:sz w:val="22"/>
          <w:szCs w:val="22"/>
        </w:rPr>
        <w:t xml:space="preserve">Add remaining MVP blocks one at a time: holdings_table, allocation_card, risk_card, alert_banner, advisor_cta. Each block is a self-contained PR.</w:t>
      </w:r>
    </w:p>
    <w:p>
      <w:pPr>
        <w:pStyle w:val="ListParagraph"/>
        <w:numPr>
          <w:ilvl w:val="0"/>
          <w:numId w:val="3"/>
        </w:numPr>
        <w:spacing w:after="80" w:line="280"/>
      </w:pPr>
      <w:r>
        <w:rPr>
          <w:rFonts w:ascii="Arial" w:cs="Arial" w:eastAsia="Arial" w:hAnsi="Arial"/>
          <w:b/>
          <w:bCs/>
          <w:sz w:val="22"/>
          <w:szCs w:val="22"/>
        </w:rPr>
        <w:t xml:space="preserve">Step 6: </w:t>
      </w:r>
      <w:r>
        <w:rPr>
          <w:rFonts w:ascii="Arial" w:cs="Arial" w:eastAsia="Arial" w:hAnsi="Arial"/>
          <w:sz w:val="22"/>
          <w:szCs w:val="22"/>
        </w:rPr>
        <w:t xml:space="preserve">Wire follow-up chips to send the chip prompt to ada-classifier, closing the conversational loop.</w:t>
      </w:r>
    </w:p>
    <w:p>
      <w:pPr>
        <w:pStyle w:val="ListParagraph"/>
        <w:numPr>
          <w:ilvl w:val="0"/>
          <w:numId w:val="3"/>
        </w:numPr>
        <w:spacing w:after="80" w:line="280"/>
      </w:pPr>
      <w:r>
        <w:rPr>
          <w:rFonts w:ascii="Arial" w:cs="Arial" w:eastAsia="Arial" w:hAnsi="Arial"/>
          <w:b/>
          <w:bCs/>
          <w:sz w:val="22"/>
          <w:szCs w:val="22"/>
        </w:rPr>
        <w:t xml:space="preserve">Step 7: </w:t>
      </w:r>
      <w:r>
        <w:rPr>
          <w:rFonts w:ascii="Arial" w:cs="Arial" w:eastAsia="Arial" w:hAnsi="Arial"/>
          <w:sz w:val="22"/>
          <w:szCs w:val="22"/>
        </w:rPr>
        <w:t xml:space="preserve">Add PostHog instrumentation for response_validation_failed, response_rendered, block_expanded, chip_tapped events.</w:t>
      </w:r>
    </w:p>
    <w:p>
      <w:pPr>
        <w:spacing w:after="400"/>
      </w:pPr>
    </w:p>
    <w:p>
      <w:pPr>
        <w:pBdr>
          <w:top w:val="single" w:color="2E75B6" w:sz="4" w:space="8"/>
        </w:pBdr>
        <w:spacing w:after="100" w:before="200"/>
      </w:pPr>
      <w:r>
        <w:rPr>
          <w:rFonts w:ascii="Arial" w:cs="Arial" w:eastAsia="Arial" w:hAnsi="Arial"/>
          <w:i/>
          <w:iCs/>
          <w:color w:val="6B7280"/>
          <w:sz w:val="20"/>
          <w:szCs w:val="20"/>
        </w:rPr>
        <w:t xml:space="preserve">End of Document</w:t>
      </w:r>
    </w:p>
    <w:p>
      <w:pPr>
        <w:spacing w:after="160" w:line="300"/>
        <w:jc w:val="left"/>
      </w:pPr>
      <w:r>
        <w:rPr>
          <w:rFonts w:ascii="Courier New" w:cs="Courier New" w:eastAsia="Courier New" w:hAnsi="Courier New"/>
          <w:color w:val="2E75B6"/>
          <w:sz w:val="20"/>
          <w:szCs w:val="20"/>
        </w:rPr>
        <w:t xml:space="preserve">Companion artifact: ada-response-protocol.ts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7280"/>
        <w:sz w:val="18"/>
        <w:szCs w:val="18"/>
      </w:rPr>
      <w:t xml:space="preserve">Ada Response Protocol v1.0</w:t>
    </w:r>
    <w: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2026-04-01T12:00:50.964Z</dcterms:created>
  <dcterms:modified xsi:type="dcterms:W3CDTF">2026-04-01T12:00:50.966Z</dcterms:modified>
</cp:coreProperties>
</file>

<file path=docProps/custom.xml><?xml version="1.0" encoding="utf-8"?>
<Properties xmlns="http://schemas.openxmlformats.org/officeDocument/2006/custom-properties" xmlns:vt="http://schemas.openxmlformats.org/officeDocument/2006/docPropsVTypes"/>
</file>