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OLIST BRAZILIAN E-COMMERCE ANALYTICS</w:t>
      </w:r>
    </w:p>
    <w:p>
      <w:pPr>
        <w:jc w:val="center"/>
      </w:pPr>
      <w:r>
        <w:rPr>
          <w:b/>
        </w:rPr>
        <w:t>End-to-End Data Analytics Portfolio Project</w:t>
      </w:r>
    </w:p>
    <w:p>
      <w:pPr>
        <w:jc w:val="center"/>
      </w:pPr>
      <w:r>
        <w:t>Sales • Customers • Products • Sellers • Payments • Delivery • Customer Satisfaction</w:t>
      </w:r>
    </w:p>
    <w:p/>
    <w:p>
      <w:pPr>
        <w:jc w:val="center"/>
      </w:pPr>
      <w:r>
        <w:rPr>
          <w:b/>
        </w:rPr>
        <w:t>ASWIN C S</w:t>
      </w:r>
    </w:p>
    <w:p>
      <w:pPr>
        <w:jc w:val="center"/>
      </w:pPr>
      <w:r>
        <w:t>Data Analyst Portfolio Project | 2026</w:t>
      </w:r>
    </w:p>
    <w:p>
      <w:r>
        <w:br w:type="page"/>
      </w:r>
    </w:p>
    <w:p>
      <w:pPr>
        <w:pStyle w:val="Heading1"/>
      </w:pPr>
      <w:r>
        <w:t>1. Executive Summary</w:t>
      </w:r>
    </w:p>
    <w:p>
      <w:r>
        <w:t>This project analyzes the Brazilian E-Commerce Public Dataset by Olist to understand sales performance, customer behavior, product and seller performance, payment patterns, delivery operations, and customer satisfaction. It was designed as a practical Data Analytics portfolio project focused on business questions, validated metrics, actionable insights, and dashboard communication.</w:t>
      </w:r>
    </w:p>
    <w:p>
      <w:r>
        <w:t>The workflow used Python/Jupyter for profiling, cleaning, feature engineering and exploratory analysis; PostgreSQL for relational analysis and SQL validation; Excel for validation and dashboarding; and Power BI for interactive KPI reporting.</w:t>
      </w:r>
    </w:p>
    <w:p>
      <w:r>
        <w:t>The analysis identified a customer base dominated by one-time purchasers, substantial sales and geographic concentration, variation in category and seller performance, an 8.12% delayed-delivery rate among valid deliveries, and a strong descriptive association between delivery delays and lower review scores.</w:t>
      </w:r>
    </w:p>
    <w:p>
      <w:pPr>
        <w:pStyle w:val="Heading1"/>
      </w:pPr>
      <w:r>
        <w:t>2. Business Problem</w:t>
      </w:r>
    </w:p>
    <w:p>
      <w:r>
        <w:t>An e-commerce marketplace needs to understand not only how much it sells, but also which customers return, which categories and sellers contribute to sales, where demand is concentrated, how customers pay, whether orders arrive on time, and how operational performance relates to customer satisfaction.</w:t>
      </w:r>
    </w:p>
    <w:p>
      <w:r>
        <w:t>The project converts transactional marketplace data into business insights that can support customer retention, sales planning, seller monitoring, logistics, customer experience, and payment decisions.</w:t>
      </w:r>
    </w:p>
    <w:p>
      <w:pPr>
        <w:pStyle w:val="Heading1"/>
      </w:pPr>
      <w:r>
        <w:t>3. Project Objectives</w:t>
      </w:r>
    </w:p>
    <w:p>
      <w:pPr>
        <w:pStyle w:val="ListBullet"/>
      </w:pPr>
      <w:r>
        <w:t>Analyze sales performance and changes over time.</w:t>
      </w:r>
    </w:p>
    <w:p>
      <w:pPr>
        <w:pStyle w:val="ListBullet"/>
      </w:pPr>
      <w:r>
        <w:t>Understand customer purchasing frequency and retention patterns.</w:t>
      </w:r>
    </w:p>
    <w:p>
      <w:pPr>
        <w:pStyle w:val="ListBullet"/>
      </w:pPr>
      <w:r>
        <w:t>Evaluate product-category and seller performance.</w:t>
      </w:r>
    </w:p>
    <w:p>
      <w:pPr>
        <w:pStyle w:val="ListBullet"/>
      </w:pPr>
      <w:r>
        <w:t>Analyze payment methods and installment behavior.</w:t>
      </w:r>
    </w:p>
    <w:p>
      <w:pPr>
        <w:pStyle w:val="ListBullet"/>
      </w:pPr>
      <w:r>
        <w:t>Measure delivery performance and geographic variation.</w:t>
      </w:r>
    </w:p>
    <w:p>
      <w:pPr>
        <w:pStyle w:val="ListBullet"/>
      </w:pPr>
      <w:r>
        <w:t>Examine customer review patterns and satisfaction.</w:t>
      </w:r>
    </w:p>
    <w:p>
      <w:pPr>
        <w:pStyle w:val="ListBullet"/>
      </w:pPr>
      <w:r>
        <w:t>Investigate the relationship between delivery performance and customer satisfaction.</w:t>
      </w:r>
    </w:p>
    <w:p>
      <w:pPr>
        <w:pStyle w:val="ListBullet"/>
      </w:pPr>
      <w:r>
        <w:t>Build validated Excel and Power BI dashboards for business reporting.</w:t>
      </w:r>
    </w:p>
    <w:p>
      <w:pPr>
        <w:pStyle w:val="Heading1"/>
      </w:pPr>
      <w:r>
        <w:t>4. Dataset</w:t>
      </w:r>
    </w:p>
    <w:p>
      <w:r>
        <w:t>The project uses the Brazilian E-Commerce Public Dataset by Olist. The raw data consists of relational CSV files covering customers, orders, order items, payments, reviews, products, sellers, geolocation and category translation.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7"/>
              </w:rPr>
              <w:t>Dataset</w:t>
            </w:r>
          </w:p>
        </w:tc>
        <w:tc>
          <w:tcPr>
            <w:tcW w:type="dxa" w:w="3360"/>
            <w:vAlign w:val="center"/>
            <w:shd w:fill="D9EAF7"/>
          </w:tcPr>
          <w:p>
            <w:r>
              <w:rPr>
                <w:b/>
                <w:sz w:val="17"/>
              </w:rPr>
              <w:t>Rows</w:t>
            </w:r>
          </w:p>
        </w:tc>
        <w:tc>
          <w:tcPr>
            <w:tcW w:type="dxa" w:w="3360"/>
            <w:vAlign w:val="center"/>
            <w:shd w:fill="D9EAF7"/>
          </w:tcPr>
          <w:p>
            <w:r>
              <w:rPr>
                <w:b/>
                <w:sz w:val="17"/>
              </w:rPr>
              <w:t>Purpose</w:t>
            </w:r>
          </w:p>
        </w:tc>
      </w:tr>
      <w:tr>
        <w:tc>
          <w:tcPr>
            <w:tcW w:type="dxa" w:w="3360"/>
            <w:vAlign w:val="center"/>
          </w:tcPr>
          <w:p>
            <w:r>
              <w:rPr>
                <w:b w:val="0"/>
                <w:sz w:val="17"/>
              </w:rPr>
              <w:t>Customers</w:t>
            </w:r>
          </w:p>
        </w:tc>
        <w:tc>
          <w:tcPr>
            <w:tcW w:type="dxa" w:w="3360"/>
            <w:vAlign w:val="center"/>
          </w:tcPr>
          <w:p>
            <w:r>
              <w:rPr>
                <w:b w:val="0"/>
                <w:sz w:val="17"/>
              </w:rPr>
              <w:t>99,441</w:t>
            </w:r>
          </w:p>
        </w:tc>
        <w:tc>
          <w:tcPr>
            <w:tcW w:type="dxa" w:w="3360"/>
            <w:vAlign w:val="center"/>
          </w:tcPr>
          <w:p>
            <w:r>
              <w:rPr>
                <w:b w:val="0"/>
                <w:sz w:val="17"/>
              </w:rPr>
              <w:t>Customer identity and location</w:t>
            </w:r>
          </w:p>
        </w:tc>
      </w:tr>
      <w:tr>
        <w:tc>
          <w:tcPr>
            <w:tcW w:type="dxa" w:w="3360"/>
            <w:vAlign w:val="center"/>
          </w:tcPr>
          <w:p>
            <w:r>
              <w:rPr>
                <w:b w:val="0"/>
                <w:sz w:val="17"/>
              </w:rPr>
              <w:t>Orders</w:t>
            </w:r>
          </w:p>
        </w:tc>
        <w:tc>
          <w:tcPr>
            <w:tcW w:type="dxa" w:w="3360"/>
            <w:vAlign w:val="center"/>
          </w:tcPr>
          <w:p>
            <w:r>
              <w:rPr>
                <w:b w:val="0"/>
                <w:sz w:val="17"/>
              </w:rPr>
              <w:t>99,441</w:t>
            </w:r>
          </w:p>
        </w:tc>
        <w:tc>
          <w:tcPr>
            <w:tcW w:type="dxa" w:w="3360"/>
            <w:vAlign w:val="center"/>
          </w:tcPr>
          <w:p>
            <w:r>
              <w:rPr>
                <w:b w:val="0"/>
                <w:sz w:val="17"/>
              </w:rPr>
              <w:t>Order status and timestamps</w:t>
            </w:r>
          </w:p>
        </w:tc>
      </w:tr>
      <w:tr>
        <w:tc>
          <w:tcPr>
            <w:tcW w:type="dxa" w:w="3360"/>
            <w:vAlign w:val="center"/>
          </w:tcPr>
          <w:p>
            <w:r>
              <w:rPr>
                <w:b w:val="0"/>
                <w:sz w:val="17"/>
              </w:rPr>
              <w:t>Order Items</w:t>
            </w:r>
          </w:p>
        </w:tc>
        <w:tc>
          <w:tcPr>
            <w:tcW w:type="dxa" w:w="3360"/>
            <w:vAlign w:val="center"/>
          </w:tcPr>
          <w:p>
            <w:r>
              <w:rPr>
                <w:b w:val="0"/>
                <w:sz w:val="17"/>
              </w:rPr>
              <w:t>112,650</w:t>
            </w:r>
          </w:p>
        </w:tc>
        <w:tc>
          <w:tcPr>
            <w:tcW w:type="dxa" w:w="3360"/>
            <w:vAlign w:val="center"/>
          </w:tcPr>
          <w:p>
            <w:r>
              <w:rPr>
                <w:b w:val="0"/>
                <w:sz w:val="17"/>
              </w:rPr>
              <w:t>Products, sellers, prices and freight</w:t>
            </w:r>
          </w:p>
        </w:tc>
      </w:tr>
      <w:tr>
        <w:tc>
          <w:tcPr>
            <w:tcW w:type="dxa" w:w="3360"/>
            <w:vAlign w:val="center"/>
          </w:tcPr>
          <w:p>
            <w:r>
              <w:rPr>
                <w:b w:val="0"/>
                <w:sz w:val="17"/>
              </w:rPr>
              <w:t>Payments</w:t>
            </w:r>
          </w:p>
        </w:tc>
        <w:tc>
          <w:tcPr>
            <w:tcW w:type="dxa" w:w="3360"/>
            <w:vAlign w:val="center"/>
          </w:tcPr>
          <w:p>
            <w:r>
              <w:rPr>
                <w:b w:val="0"/>
                <w:sz w:val="17"/>
              </w:rPr>
              <w:t>103,886</w:t>
            </w:r>
          </w:p>
        </w:tc>
        <w:tc>
          <w:tcPr>
            <w:tcW w:type="dxa" w:w="3360"/>
            <w:vAlign w:val="center"/>
          </w:tcPr>
          <w:p>
            <w:r>
              <w:rPr>
                <w:b w:val="0"/>
                <w:sz w:val="17"/>
              </w:rPr>
              <w:t>Payment type, value and installments</w:t>
            </w:r>
          </w:p>
        </w:tc>
      </w:tr>
      <w:tr>
        <w:tc>
          <w:tcPr>
            <w:tcW w:type="dxa" w:w="3360"/>
            <w:vAlign w:val="center"/>
          </w:tcPr>
          <w:p>
            <w:r>
              <w:rPr>
                <w:b w:val="0"/>
                <w:sz w:val="17"/>
              </w:rPr>
              <w:t>Reviews</w:t>
            </w:r>
          </w:p>
        </w:tc>
        <w:tc>
          <w:tcPr>
            <w:tcW w:type="dxa" w:w="3360"/>
            <w:vAlign w:val="center"/>
          </w:tcPr>
          <w:p>
            <w:r>
              <w:rPr>
                <w:b w:val="0"/>
                <w:sz w:val="17"/>
              </w:rPr>
              <w:t>99,224</w:t>
            </w:r>
          </w:p>
        </w:tc>
        <w:tc>
          <w:tcPr>
            <w:tcW w:type="dxa" w:w="3360"/>
            <w:vAlign w:val="center"/>
          </w:tcPr>
          <w:p>
            <w:r>
              <w:rPr>
                <w:b w:val="0"/>
                <w:sz w:val="17"/>
              </w:rPr>
              <w:t>Customer review scores and feedback</w:t>
            </w:r>
          </w:p>
        </w:tc>
      </w:tr>
      <w:tr>
        <w:tc>
          <w:tcPr>
            <w:tcW w:type="dxa" w:w="3360"/>
            <w:vAlign w:val="center"/>
          </w:tcPr>
          <w:p>
            <w:r>
              <w:rPr>
                <w:b w:val="0"/>
                <w:sz w:val="17"/>
              </w:rPr>
              <w:t>Products</w:t>
            </w:r>
          </w:p>
        </w:tc>
        <w:tc>
          <w:tcPr>
            <w:tcW w:type="dxa" w:w="3360"/>
            <w:vAlign w:val="center"/>
          </w:tcPr>
          <w:p>
            <w:r>
              <w:rPr>
                <w:b w:val="0"/>
                <w:sz w:val="17"/>
              </w:rPr>
              <w:t>32,951</w:t>
            </w:r>
          </w:p>
        </w:tc>
        <w:tc>
          <w:tcPr>
            <w:tcW w:type="dxa" w:w="3360"/>
            <w:vAlign w:val="center"/>
          </w:tcPr>
          <w:p>
            <w:r>
              <w:rPr>
                <w:b w:val="0"/>
                <w:sz w:val="17"/>
              </w:rPr>
              <w:t>Product and category attributes</w:t>
            </w:r>
          </w:p>
        </w:tc>
      </w:tr>
      <w:tr>
        <w:tc>
          <w:tcPr>
            <w:tcW w:type="dxa" w:w="3360"/>
            <w:vAlign w:val="center"/>
          </w:tcPr>
          <w:p>
            <w:r>
              <w:rPr>
                <w:b w:val="0"/>
                <w:sz w:val="17"/>
              </w:rPr>
              <w:t>Sellers</w:t>
            </w:r>
          </w:p>
        </w:tc>
        <w:tc>
          <w:tcPr>
            <w:tcW w:type="dxa" w:w="3360"/>
            <w:vAlign w:val="center"/>
          </w:tcPr>
          <w:p>
            <w:r>
              <w:rPr>
                <w:b w:val="0"/>
                <w:sz w:val="17"/>
              </w:rPr>
              <w:t>3,095</w:t>
            </w:r>
          </w:p>
        </w:tc>
        <w:tc>
          <w:tcPr>
            <w:tcW w:type="dxa" w:w="3360"/>
            <w:vAlign w:val="center"/>
          </w:tcPr>
          <w:p>
            <w:r>
              <w:rPr>
                <w:b w:val="0"/>
                <w:sz w:val="17"/>
              </w:rPr>
              <w:t>Seller information</w:t>
            </w:r>
          </w:p>
        </w:tc>
      </w:tr>
      <w:tr>
        <w:tc>
          <w:tcPr>
            <w:tcW w:type="dxa" w:w="3360"/>
            <w:vAlign w:val="center"/>
          </w:tcPr>
          <w:p>
            <w:r>
              <w:rPr>
                <w:b w:val="0"/>
                <w:sz w:val="17"/>
              </w:rPr>
              <w:t>Category Translation</w:t>
            </w:r>
          </w:p>
        </w:tc>
        <w:tc>
          <w:tcPr>
            <w:tcW w:type="dxa" w:w="3360"/>
            <w:vAlign w:val="center"/>
          </w:tcPr>
          <w:p>
            <w:r>
              <w:rPr>
                <w:b w:val="0"/>
                <w:sz w:val="17"/>
              </w:rPr>
              <w:t>71</w:t>
            </w:r>
          </w:p>
        </w:tc>
        <w:tc>
          <w:tcPr>
            <w:tcW w:type="dxa" w:w="3360"/>
            <w:vAlign w:val="center"/>
          </w:tcPr>
          <w:p>
            <w:r>
              <w:rPr>
                <w:b w:val="0"/>
                <w:sz w:val="17"/>
              </w:rPr>
              <w:t>Portuguese-English category mapping</w:t>
            </w:r>
          </w:p>
        </w:tc>
      </w:tr>
      <w:tr>
        <w:tc>
          <w:tcPr>
            <w:tcW w:type="dxa" w:w="3360"/>
            <w:vAlign w:val="center"/>
          </w:tcPr>
          <w:p>
            <w:r>
              <w:rPr>
                <w:b w:val="0"/>
                <w:sz w:val="17"/>
              </w:rPr>
              <w:t>Geolocation</w:t>
            </w:r>
          </w:p>
        </w:tc>
        <w:tc>
          <w:tcPr>
            <w:tcW w:type="dxa" w:w="3360"/>
            <w:vAlign w:val="center"/>
          </w:tcPr>
          <w:p>
            <w:r>
              <w:rPr>
                <w:b w:val="0"/>
                <w:sz w:val="17"/>
              </w:rPr>
              <w:t>1,000,163</w:t>
            </w:r>
          </w:p>
        </w:tc>
        <w:tc>
          <w:tcPr>
            <w:tcW w:type="dxa" w:w="3360"/>
            <w:vAlign w:val="center"/>
          </w:tcPr>
          <w:p>
            <w:r>
              <w:rPr>
                <w:b w:val="0"/>
                <w:sz w:val="17"/>
              </w:rPr>
              <w:t>Zip-prefix geographic information</w:t>
            </w:r>
          </w:p>
        </w:tc>
      </w:tr>
    </w:tbl>
    <w:p>
      <w:r>
        <w:t>The geolocation table was profiled but not imported directly into PostgreSQL because repeated zip-prefix records require careful aggregation rather than a blind row-level join.</w:t>
      </w:r>
    </w:p>
    <w:p>
      <w:pPr>
        <w:pStyle w:val="Heading1"/>
      </w:pPr>
      <w:r>
        <w:t>5. Data Quality and Preparation</w:t>
      </w:r>
    </w:p>
    <w:p>
      <w:r>
        <w:t>Raw CSV files were retained unchanged. Data quality checks were performed at the appropriate analytical grain rather than automatically replacing missing values or removing records.</w:t>
      </w:r>
    </w:p>
    <w:p>
      <w:pPr>
        <w:pStyle w:val="ListBullet"/>
      </w:pPr>
      <w:r>
        <w:t>Order and review timestamps were converted to datetime format.</w:t>
      </w:r>
    </w:p>
    <w:p>
      <w:pPr>
        <w:pStyle w:val="ListBullet"/>
      </w:pPr>
      <w:r>
        <w:t>Missing product categories were retained as Unknown where required for analysis.</w:t>
      </w:r>
    </w:p>
    <w:p>
      <w:pPr>
        <w:pStyle w:val="ListBullet"/>
      </w:pPr>
      <w:r>
        <w:t>customer_unique_id was used as the customer identity because customer_id represents order-level customer records.</w:t>
      </w:r>
    </w:p>
    <w:p>
      <w:pPr>
        <w:pStyle w:val="ListBullet"/>
      </w:pPr>
      <w:r>
        <w:t>Delivery calculations were restricted to valid delivery sequences; inconsistent timestamp sequences were excluded from duration calculations.</w:t>
      </w:r>
    </w:p>
    <w:p>
      <w:pPr>
        <w:pStyle w:val="ListBullet"/>
      </w:pPr>
      <w:r>
        <w:t>Orders with missing actual delivery dates were not assigned estimated or review dates artificially.</w:t>
      </w:r>
    </w:p>
    <w:p>
      <w:pPr>
        <w:pStyle w:val="ListBullet"/>
      </w:pPr>
      <w:r>
        <w:t>Payment records can contain multiple rows per order, so payment analysis used the appropriate transaction grain.</w:t>
      </w:r>
    </w:p>
    <w:p>
      <w:pPr>
        <w:pStyle w:val="ListBullet"/>
      </w:pPr>
      <w:r>
        <w:t>Review records were converted to an order-level average review score when combined with delivery, category or seller analyses.</w:t>
      </w:r>
    </w:p>
    <w:p>
      <w:pPr>
        <w:pStyle w:val="ListBullet"/>
      </w:pPr>
      <w:r>
        <w:t>Minimum-volume thresholds were used in deep-dive seller and category comparisons.</w:t>
      </w:r>
    </w:p>
    <w:p>
      <w:r>
        <w:t>Key validated counts included 98,666 orders with item records, 96,287 valid deliveries, 96,096 unique customers and 99,224 review records.</w:t>
      </w:r>
    </w:p>
    <w:p>
      <w:pPr>
        <w:pStyle w:val="Heading1"/>
      </w:pPr>
      <w:r>
        <w:t>6. Methodology</w:t>
      </w:r>
    </w:p>
    <w:p>
      <w:pPr>
        <w:pStyle w:val="ListBullet"/>
      </w:pPr>
      <w:r>
        <w:t>Business understanding and analytical question definition.</w:t>
      </w:r>
    </w:p>
    <w:p>
      <w:pPr>
        <w:pStyle w:val="ListBullet"/>
      </w:pPr>
      <w:r>
        <w:t>Raw-data profiling and data-quality checks in Python.</w:t>
      </w:r>
    </w:p>
    <w:p>
      <w:pPr>
        <w:pStyle w:val="ListBullet"/>
      </w:pPr>
      <w:r>
        <w:t>Cleaning, transformation and feature engineering in Python.</w:t>
      </w:r>
    </w:p>
    <w:p>
      <w:pPr>
        <w:pStyle w:val="ListBullet"/>
      </w:pPr>
      <w:r>
        <w:t>Relational loading and validation in PostgreSQL.</w:t>
      </w:r>
    </w:p>
    <w:p>
      <w:pPr>
        <w:pStyle w:val="ListBullet"/>
      </w:pPr>
      <w:r>
        <w:t>Business analysis using SQL.</w:t>
      </w:r>
    </w:p>
    <w:p>
      <w:pPr>
        <w:pStyle w:val="ListBullet"/>
      </w:pPr>
      <w:r>
        <w:t>Independent validation and PivotTable analysis in Excel.</w:t>
      </w:r>
    </w:p>
    <w:p>
      <w:pPr>
        <w:pStyle w:val="ListBullet"/>
      </w:pPr>
      <w:r>
        <w:t>Interactive KPI and visualization development in Power BI.</w:t>
      </w:r>
    </w:p>
    <w:p>
      <w:pPr>
        <w:pStyle w:val="ListBullet"/>
      </w:pPr>
      <w:r>
        <w:t>Deep-dive analysis of delivery, satisfaction, categories, sellers and geography.</w:t>
      </w:r>
    </w:p>
    <w:p>
      <w:pPr>
        <w:pStyle w:val="ListBullet"/>
      </w:pPr>
      <w:r>
        <w:t>Consolidation of evidence into business insights and recommendations.</w:t>
      </w:r>
    </w:p>
    <w:p>
      <w:pPr>
        <w:pStyle w:val="Heading1"/>
      </w:pPr>
      <w:r>
        <w:t>7.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7"/>
              </w:rPr>
              <w:t>Tool</w:t>
            </w:r>
          </w:p>
        </w:tc>
        <w:tc>
          <w:tcPr>
            <w:tcW w:type="dxa" w:w="5040"/>
            <w:vAlign w:val="center"/>
            <w:shd w:fill="D9EAF7"/>
          </w:tcPr>
          <w:p>
            <w:r>
              <w:rPr>
                <w:b/>
                <w:sz w:val="17"/>
              </w:rPr>
              <w:t>Role</w:t>
            </w:r>
          </w:p>
        </w:tc>
      </w:tr>
      <w:tr>
        <w:tc>
          <w:tcPr>
            <w:tcW w:type="dxa" w:w="5040"/>
            <w:vAlign w:val="center"/>
          </w:tcPr>
          <w:p>
            <w:r>
              <w:rPr>
                <w:b w:val="0"/>
                <w:sz w:val="17"/>
              </w:rPr>
              <w:t>Python / Jupyter</w:t>
            </w:r>
          </w:p>
        </w:tc>
        <w:tc>
          <w:tcPr>
            <w:tcW w:type="dxa" w:w="5040"/>
            <w:vAlign w:val="center"/>
          </w:tcPr>
          <w:p>
            <w:r>
              <w:rPr>
                <w:b w:val="0"/>
                <w:sz w:val="17"/>
              </w:rPr>
              <w:t>Data profiling, cleaning, transformation, feature engineering and EDA</w:t>
            </w:r>
          </w:p>
        </w:tc>
      </w:tr>
      <w:tr>
        <w:tc>
          <w:tcPr>
            <w:tcW w:type="dxa" w:w="5040"/>
            <w:vAlign w:val="center"/>
          </w:tcPr>
          <w:p>
            <w:r>
              <w:rPr>
                <w:b w:val="0"/>
                <w:sz w:val="17"/>
              </w:rPr>
              <w:t>Pandas / NumPy</w:t>
            </w:r>
          </w:p>
        </w:tc>
        <w:tc>
          <w:tcPr>
            <w:tcW w:type="dxa" w:w="5040"/>
            <w:vAlign w:val="center"/>
          </w:tcPr>
          <w:p>
            <w:r>
              <w:rPr>
                <w:b w:val="0"/>
                <w:sz w:val="17"/>
              </w:rPr>
              <w:t>Data manipulation and numerical analysis</w:t>
            </w:r>
          </w:p>
        </w:tc>
      </w:tr>
      <w:tr>
        <w:tc>
          <w:tcPr>
            <w:tcW w:type="dxa" w:w="5040"/>
            <w:vAlign w:val="center"/>
          </w:tcPr>
          <w:p>
            <w:r>
              <w:rPr>
                <w:b w:val="0"/>
                <w:sz w:val="17"/>
              </w:rPr>
              <w:t>Matplotlib</w:t>
            </w:r>
          </w:p>
        </w:tc>
        <w:tc>
          <w:tcPr>
            <w:tcW w:type="dxa" w:w="5040"/>
            <w:vAlign w:val="center"/>
          </w:tcPr>
          <w:p>
            <w:r>
              <w:rPr>
                <w:b w:val="0"/>
                <w:sz w:val="17"/>
              </w:rPr>
              <w:t>Analytical visualization</w:t>
            </w:r>
          </w:p>
        </w:tc>
      </w:tr>
      <w:tr>
        <w:tc>
          <w:tcPr>
            <w:tcW w:type="dxa" w:w="5040"/>
            <w:vAlign w:val="center"/>
          </w:tcPr>
          <w:p>
            <w:r>
              <w:rPr>
                <w:b w:val="0"/>
                <w:sz w:val="17"/>
              </w:rPr>
              <w:t>PostgreSQL / pgAdmin</w:t>
            </w:r>
          </w:p>
        </w:tc>
        <w:tc>
          <w:tcPr>
            <w:tcW w:type="dxa" w:w="5040"/>
            <w:vAlign w:val="center"/>
          </w:tcPr>
          <w:p>
            <w:r>
              <w:rPr>
                <w:b w:val="0"/>
                <w:sz w:val="17"/>
              </w:rPr>
              <w:t>Database storage, SQL analysis and validation</w:t>
            </w:r>
          </w:p>
        </w:tc>
      </w:tr>
      <w:tr>
        <w:tc>
          <w:tcPr>
            <w:tcW w:type="dxa" w:w="5040"/>
            <w:vAlign w:val="center"/>
          </w:tcPr>
          <w:p>
            <w:r>
              <w:rPr>
                <w:b w:val="0"/>
                <w:sz w:val="17"/>
              </w:rPr>
              <w:t>Excel 2019</w:t>
            </w:r>
          </w:p>
        </w:tc>
        <w:tc>
          <w:tcPr>
            <w:tcW w:type="dxa" w:w="5040"/>
            <w:vAlign w:val="center"/>
          </w:tcPr>
          <w:p>
            <w:r>
              <w:rPr>
                <w:b w:val="0"/>
                <w:sz w:val="17"/>
              </w:rPr>
              <w:t>Power Query, validation, PivotTables, charts and dashboard</w:t>
            </w:r>
          </w:p>
        </w:tc>
      </w:tr>
      <w:tr>
        <w:tc>
          <w:tcPr>
            <w:tcW w:type="dxa" w:w="5040"/>
            <w:vAlign w:val="center"/>
          </w:tcPr>
          <w:p>
            <w:r>
              <w:rPr>
                <w:b w:val="0"/>
                <w:sz w:val="17"/>
              </w:rPr>
              <w:t>Power BI</w:t>
            </w:r>
          </w:p>
        </w:tc>
        <w:tc>
          <w:tcPr>
            <w:tcW w:type="dxa" w:w="5040"/>
            <w:vAlign w:val="center"/>
          </w:tcPr>
          <w:p>
            <w:r>
              <w:rPr>
                <w:b w:val="0"/>
                <w:sz w:val="17"/>
              </w:rPr>
              <w:t>Data model, DAX measures, slicers and interactive dashboards</w:t>
            </w:r>
          </w:p>
        </w:tc>
      </w:tr>
      <w:tr>
        <w:tc>
          <w:tcPr>
            <w:tcW w:type="dxa" w:w="5040"/>
            <w:vAlign w:val="center"/>
          </w:tcPr>
          <w:p>
            <w:r>
              <w:rPr>
                <w:b w:val="0"/>
                <w:sz w:val="17"/>
              </w:rPr>
              <w:t>GenAI</w:t>
            </w:r>
          </w:p>
        </w:tc>
        <w:tc>
          <w:tcPr>
            <w:tcW w:type="dxa" w:w="5040"/>
            <w:vAlign w:val="center"/>
          </w:tcPr>
          <w:p>
            <w:r>
              <w:rPr>
                <w:b w:val="0"/>
                <w:sz w:val="17"/>
              </w:rPr>
              <w:t>Productivity support for code, SQL/DAX explanations and documentation; outputs verified against data</w:t>
            </w:r>
          </w:p>
        </w:tc>
      </w:tr>
    </w:tbl>
    <w:p>
      <w:pPr>
        <w:pStyle w:val="Heading1"/>
      </w:pPr>
      <w:r>
        <w:t>8. Key Business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7"/>
              </w:rPr>
              <w:t>Metric</w:t>
            </w:r>
          </w:p>
        </w:tc>
        <w:tc>
          <w:tcPr>
            <w:tcW w:type="dxa" w:w="5040"/>
            <w:vAlign w:val="center"/>
            <w:shd w:fill="D9EAF7"/>
          </w:tcPr>
          <w:p>
            <w:r>
              <w:rPr>
                <w:b/>
                <w:sz w:val="17"/>
              </w:rPr>
              <w:t>Validated Value</w:t>
            </w:r>
          </w:p>
        </w:tc>
      </w:tr>
      <w:tr>
        <w:tc>
          <w:tcPr>
            <w:tcW w:type="dxa" w:w="5040"/>
            <w:vAlign w:val="center"/>
          </w:tcPr>
          <w:p>
            <w:r>
              <w:rPr>
                <w:b w:val="0"/>
                <w:sz w:val="17"/>
              </w:rPr>
              <w:t>Total Order Value</w:t>
            </w:r>
          </w:p>
        </w:tc>
        <w:tc>
          <w:tcPr>
            <w:tcW w:type="dxa" w:w="5040"/>
            <w:vAlign w:val="center"/>
          </w:tcPr>
          <w:p>
            <w:r>
              <w:rPr>
                <w:b w:val="0"/>
                <w:sz w:val="17"/>
              </w:rPr>
              <w:t>R$15,843,553.24</w:t>
            </w:r>
          </w:p>
        </w:tc>
      </w:tr>
      <w:tr>
        <w:tc>
          <w:tcPr>
            <w:tcW w:type="dxa" w:w="5040"/>
            <w:vAlign w:val="center"/>
          </w:tcPr>
          <w:p>
            <w:r>
              <w:rPr>
                <w:b w:val="0"/>
                <w:sz w:val="17"/>
              </w:rPr>
              <w:t>Total Orders</w:t>
            </w:r>
          </w:p>
        </w:tc>
        <w:tc>
          <w:tcPr>
            <w:tcW w:type="dxa" w:w="5040"/>
            <w:vAlign w:val="center"/>
          </w:tcPr>
          <w:p>
            <w:r>
              <w:rPr>
                <w:b w:val="0"/>
                <w:sz w:val="17"/>
              </w:rPr>
              <w:t>99,441</w:t>
            </w:r>
          </w:p>
        </w:tc>
      </w:tr>
      <w:tr>
        <w:tc>
          <w:tcPr>
            <w:tcW w:type="dxa" w:w="5040"/>
            <w:vAlign w:val="center"/>
          </w:tcPr>
          <w:p>
            <w:r>
              <w:rPr>
                <w:b w:val="0"/>
                <w:sz w:val="17"/>
              </w:rPr>
              <w:t>Unique Customers</w:t>
            </w:r>
          </w:p>
        </w:tc>
        <w:tc>
          <w:tcPr>
            <w:tcW w:type="dxa" w:w="5040"/>
            <w:vAlign w:val="center"/>
          </w:tcPr>
          <w:p>
            <w:r>
              <w:rPr>
                <w:b w:val="0"/>
                <w:sz w:val="17"/>
              </w:rPr>
              <w:t>96,096</w:t>
            </w:r>
          </w:p>
        </w:tc>
      </w:tr>
      <w:tr>
        <w:tc>
          <w:tcPr>
            <w:tcW w:type="dxa" w:w="5040"/>
            <w:vAlign w:val="center"/>
          </w:tcPr>
          <w:p>
            <w:r>
              <w:rPr>
                <w:b w:val="0"/>
                <w:sz w:val="17"/>
              </w:rPr>
              <w:t>Average Order Value</w:t>
            </w:r>
          </w:p>
        </w:tc>
        <w:tc>
          <w:tcPr>
            <w:tcW w:type="dxa" w:w="5040"/>
            <w:vAlign w:val="center"/>
          </w:tcPr>
          <w:p>
            <w:r>
              <w:rPr>
                <w:b w:val="0"/>
                <w:sz w:val="17"/>
              </w:rPr>
              <w:t>R$160.58</w:t>
            </w:r>
          </w:p>
        </w:tc>
      </w:tr>
      <w:tr>
        <w:tc>
          <w:tcPr>
            <w:tcW w:type="dxa" w:w="5040"/>
            <w:vAlign w:val="center"/>
          </w:tcPr>
          <w:p>
            <w:r>
              <w:rPr>
                <w:b w:val="0"/>
                <w:sz w:val="17"/>
              </w:rPr>
              <w:t>Average Review Score</w:t>
            </w:r>
          </w:p>
        </w:tc>
        <w:tc>
          <w:tcPr>
            <w:tcW w:type="dxa" w:w="5040"/>
            <w:vAlign w:val="center"/>
          </w:tcPr>
          <w:p>
            <w:r>
              <w:rPr>
                <w:b w:val="0"/>
                <w:sz w:val="17"/>
              </w:rPr>
              <w:t>4.09 / 5</w:t>
            </w:r>
          </w:p>
        </w:tc>
      </w:tr>
      <w:tr>
        <w:tc>
          <w:tcPr>
            <w:tcW w:type="dxa" w:w="5040"/>
            <w:vAlign w:val="center"/>
          </w:tcPr>
          <w:p>
            <w:r>
              <w:rPr>
                <w:b w:val="0"/>
                <w:sz w:val="17"/>
              </w:rPr>
              <w:t>Valid Deliveries</w:t>
            </w:r>
          </w:p>
        </w:tc>
        <w:tc>
          <w:tcPr>
            <w:tcW w:type="dxa" w:w="5040"/>
            <w:vAlign w:val="center"/>
          </w:tcPr>
          <w:p>
            <w:r>
              <w:rPr>
                <w:b w:val="0"/>
                <w:sz w:val="17"/>
              </w:rPr>
              <w:t>96,287</w:t>
            </w:r>
          </w:p>
        </w:tc>
      </w:tr>
      <w:tr>
        <w:tc>
          <w:tcPr>
            <w:tcW w:type="dxa" w:w="5040"/>
            <w:vAlign w:val="center"/>
          </w:tcPr>
          <w:p>
            <w:r>
              <w:rPr>
                <w:b w:val="0"/>
                <w:sz w:val="17"/>
              </w:rPr>
              <w:t>Delayed Deliveries</w:t>
            </w:r>
          </w:p>
        </w:tc>
        <w:tc>
          <w:tcPr>
            <w:tcW w:type="dxa" w:w="5040"/>
            <w:vAlign w:val="center"/>
          </w:tcPr>
          <w:p>
            <w:r>
              <w:rPr>
                <w:b w:val="0"/>
                <w:sz w:val="17"/>
              </w:rPr>
              <w:t>7,823</w:t>
            </w:r>
          </w:p>
        </w:tc>
      </w:tr>
      <w:tr>
        <w:tc>
          <w:tcPr>
            <w:tcW w:type="dxa" w:w="5040"/>
            <w:vAlign w:val="center"/>
          </w:tcPr>
          <w:p>
            <w:r>
              <w:rPr>
                <w:b w:val="0"/>
                <w:sz w:val="17"/>
              </w:rPr>
              <w:t>Delayed Delivery Rate</w:t>
            </w:r>
          </w:p>
        </w:tc>
        <w:tc>
          <w:tcPr>
            <w:tcW w:type="dxa" w:w="5040"/>
            <w:vAlign w:val="center"/>
          </w:tcPr>
          <w:p>
            <w:r>
              <w:rPr>
                <w:b w:val="0"/>
                <w:sz w:val="17"/>
              </w:rPr>
              <w:t>8.12%</w:t>
            </w:r>
          </w:p>
        </w:tc>
      </w:tr>
      <w:tr>
        <w:tc>
          <w:tcPr>
            <w:tcW w:type="dxa" w:w="5040"/>
            <w:vAlign w:val="center"/>
          </w:tcPr>
          <w:p>
            <w:r>
              <w:rPr>
                <w:b w:val="0"/>
                <w:sz w:val="17"/>
              </w:rPr>
              <w:t>Credit Card Payment Value Share</w:t>
            </w:r>
          </w:p>
        </w:tc>
        <w:tc>
          <w:tcPr>
            <w:tcW w:type="dxa" w:w="5040"/>
            <w:vAlign w:val="center"/>
          </w:tcPr>
          <w:p>
            <w:r>
              <w:rPr>
                <w:b w:val="0"/>
                <w:sz w:val="17"/>
              </w:rPr>
              <w:t>78.34%</w:t>
            </w:r>
          </w:p>
        </w:tc>
      </w:tr>
      <w:tr>
        <w:tc>
          <w:tcPr>
            <w:tcW w:type="dxa" w:w="5040"/>
            <w:vAlign w:val="center"/>
          </w:tcPr>
          <w:p>
            <w:r>
              <w:rPr>
                <w:b w:val="0"/>
                <w:sz w:val="17"/>
              </w:rPr>
              <w:t>Freight Share of Order Value</w:t>
            </w:r>
          </w:p>
        </w:tc>
        <w:tc>
          <w:tcPr>
            <w:tcW w:type="dxa" w:w="5040"/>
            <w:vAlign w:val="center"/>
          </w:tcPr>
          <w:p>
            <w:r>
              <w:rPr>
                <w:b w:val="0"/>
                <w:sz w:val="17"/>
              </w:rPr>
              <w:t>14.21%</w:t>
            </w:r>
          </w:p>
        </w:tc>
      </w:tr>
    </w:tbl>
    <w:p>
      <w:pPr>
        <w:pStyle w:val="Heading1"/>
      </w:pPr>
      <w:r>
        <w:t>9. Business Analysis and Findings</w:t>
      </w:r>
    </w:p>
    <w:p>
      <w:pPr>
        <w:pStyle w:val="Heading2"/>
      </w:pPr>
      <w:r>
        <w:t>Sales Performance</w:t>
      </w:r>
    </w:p>
    <w:p>
      <w:r>
        <w:t>Total order value was R$15.84M across 99,441 orders, with an AOV of R$160.58. Comparable 2017-to-2018 activity showed 19.76% growth in orders and 21.01% growth in total order value. November 2017 was the highest meaningful month at approximately R$1.18M.</w:t>
      </w:r>
    </w:p>
    <w:p>
      <w:pPr>
        <w:pStyle w:val="Heading2"/>
      </w:pPr>
      <w:r>
        <w:t>Customer Retention</w:t>
      </w:r>
    </w:p>
    <w:p>
      <w:r>
        <w:t>There were 96,096 unique customers. 93,099 (96.88%) were one-time customers and 2,997 (3.12%) were repeat customers. Repeat customers represented approximately 6.38% of orders.</w:t>
      </w:r>
    </w:p>
    <w:p>
      <w:pPr>
        <w:pStyle w:val="Heading2"/>
      </w:pPr>
      <w:r>
        <w:t>Category Sales</w:t>
      </w:r>
    </w:p>
    <w:p>
      <w:r>
        <w:t>The top five categories contributed approximately 39.7% of product sales, while the top ten contributed approximately 62.36%.</w:t>
      </w:r>
    </w:p>
    <w:p>
      <w:pPr>
        <w:pStyle w:val="Heading2"/>
      </w:pPr>
      <w:r>
        <w:t>Geographic Performance</w:t>
      </w:r>
    </w:p>
    <w:p>
      <w:r>
        <w:t>São Paulo generated approximately R$5.92M, Rio de Janeiro R$2.13M and Minas Gerais R$1.86M. Together these states represented approximately 62.6% of total order value.</w:t>
      </w:r>
    </w:p>
    <w:p>
      <w:pPr>
        <w:pStyle w:val="Heading2"/>
      </w:pPr>
      <w:r>
        <w:t>Seller Performance</w:t>
      </w:r>
    </w:p>
    <w:p>
      <w:r>
        <w:t>Among sellers with at least 100 seller-orders, performance varied considerably. Some higher-volume sellers combined meaningful sales with elevated delay rates or lower review scores, while others performed strongly.</w:t>
      </w:r>
    </w:p>
    <w:p>
      <w:pPr>
        <w:pStyle w:val="Heading2"/>
      </w:pPr>
      <w:r>
        <w:t>Delivery Performance</w:t>
      </w:r>
    </w:p>
    <w:p>
      <w:r>
        <w:t>There were 96,287 valid deliveries and 7,823 delayed deliveries, giving an 8.12% delayed rate. Average valid delivery time was approximately 12.57 days.</w:t>
      </w:r>
    </w:p>
    <w:p>
      <w:pPr>
        <w:pStyle w:val="Heading2"/>
      </w:pPr>
      <w:r>
        <w:t>Delivery &amp; Satisfaction</w:t>
      </w:r>
    </w:p>
    <w:p>
      <w:r>
        <w:t>Delayed orders generally received lower review scores than on-time/early orders. In RJ, for example, delayed orders averaged about 2.13 versus 4.25 for on-time/early orders. This is an association, not proof of causation.</w:t>
      </w:r>
    </w:p>
    <w:p>
      <w:pPr>
        <w:pStyle w:val="Heading2"/>
      </w:pPr>
      <w:r>
        <w:t>Category Satisfaction</w:t>
      </w:r>
    </w:p>
    <w:p>
      <w:r>
        <w:t>Office Furniture had an average review score of approximately 3.62 across 1,273 orders, with 22.47% receiving 1–2 star ratings. Several other high-volume categories also showed meaningful low-rating shares.</w:t>
      </w:r>
    </w:p>
    <w:p>
      <w:pPr>
        <w:pStyle w:val="Heading2"/>
      </w:pPr>
      <w:r>
        <w:t>Payment Behavior</w:t>
      </w:r>
    </w:p>
    <w:p>
      <w:r>
        <w:t>Credit cards accounted for 78.34% of payment value, followed by boleto at 17.92%. The 2–12 installment bands represented approximately 79.93% of credit-card value.</w:t>
      </w:r>
    </w:p>
    <w:p>
      <w:pPr>
        <w:pStyle w:val="Heading2"/>
      </w:pPr>
      <w:r>
        <w:t>Freight</w:t>
      </w:r>
    </w:p>
    <w:p>
      <w:r>
        <w:t>Freight represented approximately R$2.25M, or 14.21% of total order value.</w:t>
      </w:r>
    </w:p>
    <w:p>
      <w:pPr>
        <w:pStyle w:val="Heading1"/>
      </w:pPr>
      <w:r>
        <w:t>10. Master Business Insights and Recommendations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7"/>
              </w:rPr>
              <w:t>Area</w:t>
            </w:r>
          </w:p>
        </w:tc>
        <w:tc>
          <w:tcPr>
            <w:tcW w:type="dxa" w:w="2520"/>
            <w:vAlign w:val="center"/>
            <w:shd w:fill="D9EAF7"/>
          </w:tcPr>
          <w:p>
            <w:r>
              <w:rPr>
                <w:b/>
                <w:sz w:val="17"/>
              </w:rPr>
              <w:t>Evidence</w:t>
            </w:r>
          </w:p>
        </w:tc>
        <w:tc>
          <w:tcPr>
            <w:tcW w:type="dxa" w:w="2520"/>
            <w:vAlign w:val="center"/>
            <w:shd w:fill="D9EAF7"/>
          </w:tcPr>
          <w:p>
            <w:r>
              <w:rPr>
                <w:b/>
                <w:sz w:val="17"/>
              </w:rPr>
              <w:t>Implication</w:t>
            </w:r>
          </w:p>
        </w:tc>
        <w:tc>
          <w:tcPr>
            <w:tcW w:type="dxa" w:w="2520"/>
            <w:vAlign w:val="center"/>
            <w:shd w:fill="D9EAF7"/>
          </w:tcPr>
          <w:p>
            <w:r>
              <w:rPr>
                <w:b/>
                <w:sz w:val="17"/>
              </w:rPr>
              <w:t>Recommended Action</w:t>
            </w:r>
          </w:p>
        </w:tc>
      </w:tr>
      <w:tr>
        <w:tc>
          <w:tcPr>
            <w:tcW w:type="dxa" w:w="2520"/>
            <w:vAlign w:val="center"/>
          </w:tcPr>
          <w:p>
            <w:r>
              <w:rPr>
                <w:b w:val="0"/>
                <w:sz w:val="17"/>
              </w:rPr>
              <w:t>Customer Retention</w:t>
            </w:r>
          </w:p>
        </w:tc>
        <w:tc>
          <w:tcPr>
            <w:tcW w:type="dxa" w:w="2520"/>
            <w:vAlign w:val="center"/>
          </w:tcPr>
          <w:p>
            <w:r>
              <w:rPr>
                <w:b w:val="0"/>
                <w:sz w:val="17"/>
              </w:rPr>
              <w:t>96.88% of unique customers were one-time purchasers.</w:t>
            </w:r>
          </w:p>
        </w:tc>
        <w:tc>
          <w:tcPr>
            <w:tcW w:type="dxa" w:w="2520"/>
            <w:vAlign w:val="center"/>
          </w:tcPr>
          <w:p>
            <w:r>
              <w:rPr>
                <w:b w:val="0"/>
                <w:sz w:val="17"/>
              </w:rPr>
              <w:t>Large opportunity for retention analysis.</w:t>
            </w:r>
          </w:p>
        </w:tc>
        <w:tc>
          <w:tcPr>
            <w:tcW w:type="dxa" w:w="2520"/>
            <w:vAlign w:val="center"/>
          </w:tcPr>
          <w:p>
            <w:r>
              <w:rPr>
                <w:b w:val="0"/>
                <w:sz w:val="17"/>
              </w:rPr>
              <w:t>Use personalized follow-ups, recommendations, loyalty incentives and post-purchase engagement.</w:t>
            </w:r>
          </w:p>
        </w:tc>
      </w:tr>
      <w:tr>
        <w:tc>
          <w:tcPr>
            <w:tcW w:type="dxa" w:w="2520"/>
            <w:vAlign w:val="center"/>
          </w:tcPr>
          <w:p>
            <w:r>
              <w:rPr>
                <w:b w:val="0"/>
                <w:sz w:val="17"/>
              </w:rPr>
              <w:t>Sales Growth</w:t>
            </w:r>
          </w:p>
        </w:tc>
        <w:tc>
          <w:tcPr>
            <w:tcW w:type="dxa" w:w="2520"/>
            <w:vAlign w:val="center"/>
          </w:tcPr>
          <w:p>
            <w:r>
              <w:rPr>
                <w:b w:val="0"/>
                <w:sz w:val="17"/>
              </w:rPr>
              <w:t>2017→2018 orders +19.76%; total order value +21.01%.</w:t>
            </w:r>
          </w:p>
        </w:tc>
        <w:tc>
          <w:tcPr>
            <w:tcW w:type="dxa" w:w="2520"/>
            <w:vAlign w:val="center"/>
          </w:tcPr>
          <w:p>
            <w:r>
              <w:rPr>
                <w:b w:val="0"/>
                <w:sz w:val="17"/>
              </w:rPr>
              <w:t>Marketplace activity expanded during comparable periods.</w:t>
            </w:r>
          </w:p>
        </w:tc>
        <w:tc>
          <w:tcPr>
            <w:tcW w:type="dxa" w:w="2520"/>
            <w:vAlign w:val="center"/>
          </w:tcPr>
          <w:p>
            <w:r>
              <w:rPr>
                <w:b w:val="0"/>
                <w:sz w:val="17"/>
              </w:rPr>
              <w:t>Study high-growth categories, periods and customer segments.</w:t>
            </w:r>
          </w:p>
        </w:tc>
      </w:tr>
      <w:tr>
        <w:tc>
          <w:tcPr>
            <w:tcW w:type="dxa" w:w="2520"/>
            <w:vAlign w:val="center"/>
          </w:tcPr>
          <w:p>
            <w:r>
              <w:rPr>
                <w:b w:val="0"/>
                <w:sz w:val="17"/>
              </w:rPr>
              <w:t>Category Concentration</w:t>
            </w:r>
          </w:p>
        </w:tc>
        <w:tc>
          <w:tcPr>
            <w:tcW w:type="dxa" w:w="2520"/>
            <w:vAlign w:val="center"/>
          </w:tcPr>
          <w:p>
            <w:r>
              <w:rPr>
                <w:b w:val="0"/>
                <w:sz w:val="17"/>
              </w:rPr>
              <w:t>Top 10 categories contributed 62.36% of product sales.</w:t>
            </w:r>
          </w:p>
        </w:tc>
        <w:tc>
          <w:tcPr>
            <w:tcW w:type="dxa" w:w="2520"/>
            <w:vAlign w:val="center"/>
          </w:tcPr>
          <w:p>
            <w:r>
              <w:rPr>
                <w:b w:val="0"/>
                <w:sz w:val="17"/>
              </w:rPr>
              <w:t>A small group has substantial influence on sales.</w:t>
            </w:r>
          </w:p>
        </w:tc>
        <w:tc>
          <w:tcPr>
            <w:tcW w:type="dxa" w:w="2520"/>
            <w:vAlign w:val="center"/>
          </w:tcPr>
          <w:p>
            <w:r>
              <w:rPr>
                <w:b w:val="0"/>
                <w:sz w:val="17"/>
              </w:rPr>
              <w:t>Protect availability while developing promising secondary categories.</w:t>
            </w:r>
          </w:p>
        </w:tc>
      </w:tr>
      <w:tr>
        <w:tc>
          <w:tcPr>
            <w:tcW w:type="dxa" w:w="2520"/>
            <w:vAlign w:val="center"/>
          </w:tcPr>
          <w:p>
            <w:r>
              <w:rPr>
                <w:b w:val="0"/>
                <w:sz w:val="17"/>
              </w:rPr>
              <w:t>Geographic Concentration</w:t>
            </w:r>
          </w:p>
        </w:tc>
        <w:tc>
          <w:tcPr>
            <w:tcW w:type="dxa" w:w="2520"/>
            <w:vAlign w:val="center"/>
          </w:tcPr>
          <w:p>
            <w:r>
              <w:rPr>
                <w:b w:val="0"/>
                <w:sz w:val="17"/>
              </w:rPr>
              <w:t>SP, RJ and MG contributed about 62.6% of total order value.</w:t>
            </w:r>
          </w:p>
        </w:tc>
        <w:tc>
          <w:tcPr>
            <w:tcW w:type="dxa" w:w="2520"/>
            <w:vAlign w:val="center"/>
          </w:tcPr>
          <w:p>
            <w:r>
              <w:rPr>
                <w:b w:val="0"/>
                <w:sz w:val="17"/>
              </w:rPr>
              <w:t>A few states strongly influence results.</w:t>
            </w:r>
          </w:p>
        </w:tc>
        <w:tc>
          <w:tcPr>
            <w:tcW w:type="dxa" w:w="2520"/>
            <w:vAlign w:val="center"/>
          </w:tcPr>
          <w:p>
            <w:r>
              <w:rPr>
                <w:b w:val="0"/>
                <w:sz w:val="17"/>
              </w:rPr>
              <w:t>Prioritize logistics and customer-experience monitoring in high-value markets.</w:t>
            </w:r>
          </w:p>
        </w:tc>
      </w:tr>
      <w:tr>
        <w:tc>
          <w:tcPr>
            <w:tcW w:type="dxa" w:w="2520"/>
            <w:vAlign w:val="center"/>
          </w:tcPr>
          <w:p>
            <w:r>
              <w:rPr>
                <w:b w:val="0"/>
                <w:sz w:val="17"/>
              </w:rPr>
              <w:t>Seller Variation</w:t>
            </w:r>
          </w:p>
        </w:tc>
        <w:tc>
          <w:tcPr>
            <w:tcW w:type="dxa" w:w="2520"/>
            <w:vAlign w:val="center"/>
          </w:tcPr>
          <w:p>
            <w:r>
              <w:rPr>
                <w:b w:val="0"/>
                <w:sz w:val="17"/>
              </w:rPr>
              <w:t>Higher-volume sellers showed different delivery and satisfaction profiles.</w:t>
            </w:r>
          </w:p>
        </w:tc>
        <w:tc>
          <w:tcPr>
            <w:tcW w:type="dxa" w:w="2520"/>
            <w:vAlign w:val="center"/>
          </w:tcPr>
          <w:p>
            <w:r>
              <w:rPr>
                <w:b w:val="0"/>
                <w:sz w:val="17"/>
              </w:rPr>
              <w:t>Sales alone does not describe seller performance.</w:t>
            </w:r>
          </w:p>
        </w:tc>
        <w:tc>
          <w:tcPr>
            <w:tcW w:type="dxa" w:w="2520"/>
            <w:vAlign w:val="center"/>
          </w:tcPr>
          <w:p>
            <w:r>
              <w:rPr>
                <w:b w:val="0"/>
                <w:sz w:val="17"/>
              </w:rPr>
              <w:t>Monitor sales, delivery reliability and satisfaction together.</w:t>
            </w:r>
          </w:p>
        </w:tc>
      </w:tr>
      <w:tr>
        <w:tc>
          <w:tcPr>
            <w:tcW w:type="dxa" w:w="2520"/>
            <w:vAlign w:val="center"/>
          </w:tcPr>
          <w:p>
            <w:r>
              <w:rPr>
                <w:b w:val="0"/>
                <w:sz w:val="17"/>
              </w:rPr>
              <w:t>Delivery Performance</w:t>
            </w:r>
          </w:p>
        </w:tc>
        <w:tc>
          <w:tcPr>
            <w:tcW w:type="dxa" w:w="2520"/>
            <w:vAlign w:val="center"/>
          </w:tcPr>
          <w:p>
            <w:r>
              <w:rPr>
                <w:b w:val="0"/>
                <w:sz w:val="17"/>
              </w:rPr>
              <w:t>8.12% of valid deliveries were delayed.</w:t>
            </w:r>
          </w:p>
        </w:tc>
        <w:tc>
          <w:tcPr>
            <w:tcW w:type="dxa" w:w="2520"/>
            <w:vAlign w:val="center"/>
          </w:tcPr>
          <w:p>
            <w:r>
              <w:rPr>
                <w:b w:val="0"/>
                <w:sz w:val="17"/>
              </w:rPr>
              <w:t>Delivery reliability remains an operational monitoring area.</w:t>
            </w:r>
          </w:p>
        </w:tc>
        <w:tc>
          <w:tcPr>
            <w:tcW w:type="dxa" w:w="2520"/>
            <w:vAlign w:val="center"/>
          </w:tcPr>
          <w:p>
            <w:r>
              <w:rPr>
                <w:b w:val="0"/>
                <w:sz w:val="17"/>
              </w:rPr>
              <w:t>Track recurring delays by state, seller and category.</w:t>
            </w:r>
          </w:p>
        </w:tc>
      </w:tr>
      <w:tr>
        <w:tc>
          <w:tcPr>
            <w:tcW w:type="dxa" w:w="2520"/>
            <w:vAlign w:val="center"/>
          </w:tcPr>
          <w:p>
            <w:r>
              <w:rPr>
                <w:b w:val="0"/>
                <w:sz w:val="17"/>
              </w:rPr>
              <w:t>Delivery &amp; Satisfaction</w:t>
            </w:r>
          </w:p>
        </w:tc>
        <w:tc>
          <w:tcPr>
            <w:tcW w:type="dxa" w:w="2520"/>
            <w:vAlign w:val="center"/>
          </w:tcPr>
          <w:p>
            <w:r>
              <w:rPr>
                <w:b w:val="0"/>
                <w:sz w:val="17"/>
              </w:rPr>
              <w:t>Delayed orders generally had lower review scores.</w:t>
            </w:r>
          </w:p>
        </w:tc>
        <w:tc>
          <w:tcPr>
            <w:tcW w:type="dxa" w:w="2520"/>
            <w:vAlign w:val="center"/>
          </w:tcPr>
          <w:p>
            <w:r>
              <w:rPr>
                <w:b w:val="0"/>
                <w:sz w:val="17"/>
              </w:rPr>
              <w:t>Delivery performance is strongly associated with satisfaction.</w:t>
            </w:r>
          </w:p>
        </w:tc>
        <w:tc>
          <w:tcPr>
            <w:tcW w:type="dxa" w:w="2520"/>
            <w:vAlign w:val="center"/>
          </w:tcPr>
          <w:p>
            <w:r>
              <w:rPr>
                <w:b w:val="0"/>
                <w:sz w:val="17"/>
              </w:rPr>
              <w:t>Investigate recurring delivery problems while monitoring experience KPIs.</w:t>
            </w:r>
          </w:p>
        </w:tc>
      </w:tr>
      <w:tr>
        <w:tc>
          <w:tcPr>
            <w:tcW w:type="dxa" w:w="2520"/>
            <w:vAlign w:val="center"/>
          </w:tcPr>
          <w:p>
            <w:r>
              <w:rPr>
                <w:b w:val="0"/>
                <w:sz w:val="17"/>
              </w:rPr>
              <w:t>Category Satisfaction</w:t>
            </w:r>
          </w:p>
        </w:tc>
        <w:tc>
          <w:tcPr>
            <w:tcW w:type="dxa" w:w="2520"/>
            <w:vAlign w:val="center"/>
          </w:tcPr>
          <w:p>
            <w:r>
              <w:rPr>
                <w:b w:val="0"/>
                <w:sz w:val="17"/>
              </w:rPr>
              <w:t>Office Furniture: 3.62 average score and 22.47% low ratings across 1,273 orders.</w:t>
            </w:r>
          </w:p>
        </w:tc>
        <w:tc>
          <w:tcPr>
            <w:tcW w:type="dxa" w:w="2520"/>
            <w:vAlign w:val="center"/>
          </w:tcPr>
          <w:p>
            <w:r>
              <w:rPr>
                <w:b w:val="0"/>
                <w:sz w:val="17"/>
              </w:rPr>
              <w:t>Some categories warrant targeted investigation.</w:t>
            </w:r>
          </w:p>
        </w:tc>
        <w:tc>
          <w:tcPr>
            <w:tcW w:type="dxa" w:w="2520"/>
            <w:vAlign w:val="center"/>
          </w:tcPr>
          <w:p>
            <w:r>
              <w:rPr>
                <w:b w:val="0"/>
                <w:sz w:val="17"/>
              </w:rPr>
              <w:t>Examine product quality, seller mix, delivery and other factors.</w:t>
            </w:r>
          </w:p>
        </w:tc>
      </w:tr>
      <w:tr>
        <w:tc>
          <w:tcPr>
            <w:tcW w:type="dxa" w:w="2520"/>
            <w:vAlign w:val="center"/>
          </w:tcPr>
          <w:p>
            <w:r>
              <w:rPr>
                <w:b w:val="0"/>
                <w:sz w:val="17"/>
              </w:rPr>
              <w:t>Payment Behavior</w:t>
            </w:r>
          </w:p>
        </w:tc>
        <w:tc>
          <w:tcPr>
            <w:tcW w:type="dxa" w:w="2520"/>
            <w:vAlign w:val="center"/>
          </w:tcPr>
          <w:p>
            <w:r>
              <w:rPr>
                <w:b w:val="0"/>
                <w:sz w:val="17"/>
              </w:rPr>
              <w:t>Credit cards represented 78.34% of payment value.</w:t>
            </w:r>
          </w:p>
        </w:tc>
        <w:tc>
          <w:tcPr>
            <w:tcW w:type="dxa" w:w="2520"/>
            <w:vAlign w:val="center"/>
          </w:tcPr>
          <w:p>
            <w:r>
              <w:rPr>
                <w:b w:val="0"/>
                <w:sz w:val="17"/>
              </w:rPr>
              <w:t>Payment value is strongly concentrated in credit cards.</w:t>
            </w:r>
          </w:p>
        </w:tc>
        <w:tc>
          <w:tcPr>
            <w:tcW w:type="dxa" w:w="2520"/>
            <w:vAlign w:val="center"/>
          </w:tcPr>
          <w:p>
            <w:r>
              <w:rPr>
                <w:b w:val="0"/>
                <w:sz w:val="17"/>
              </w:rPr>
              <w:t>Maintain a strong card-payment experience and monitor alternatives.</w:t>
            </w:r>
          </w:p>
        </w:tc>
      </w:tr>
      <w:tr>
        <w:tc>
          <w:tcPr>
            <w:tcW w:type="dxa" w:w="2520"/>
            <w:vAlign w:val="center"/>
          </w:tcPr>
          <w:p>
            <w:r>
              <w:rPr>
                <w:b w:val="0"/>
                <w:sz w:val="17"/>
              </w:rPr>
              <w:t>Freight</w:t>
            </w:r>
          </w:p>
        </w:tc>
        <w:tc>
          <w:tcPr>
            <w:tcW w:type="dxa" w:w="2520"/>
            <w:vAlign w:val="center"/>
          </w:tcPr>
          <w:p>
            <w:r>
              <w:rPr>
                <w:b w:val="0"/>
                <w:sz w:val="17"/>
              </w:rPr>
              <w:t>Freight represented 14.21% of total order value.</w:t>
            </w:r>
          </w:p>
        </w:tc>
        <w:tc>
          <w:tcPr>
            <w:tcW w:type="dxa" w:w="2520"/>
            <w:vAlign w:val="center"/>
          </w:tcPr>
          <w:p>
            <w:r>
              <w:rPr>
                <w:b w:val="0"/>
                <w:sz w:val="17"/>
              </w:rPr>
              <w:t>Shipping cost is a meaningful transaction component.</w:t>
            </w:r>
          </w:p>
        </w:tc>
        <w:tc>
          <w:tcPr>
            <w:tcW w:type="dxa" w:w="2520"/>
            <w:vAlign w:val="center"/>
          </w:tcPr>
          <w:p>
            <w:r>
              <w:rPr>
                <w:b w:val="0"/>
                <w:sz w:val="17"/>
              </w:rPr>
              <w:t>Monitor freight by state, category and order value.</w:t>
            </w:r>
          </w:p>
        </w:tc>
      </w:tr>
    </w:tbl>
    <w:p>
      <w:pPr>
        <w:pStyle w:val="Heading1"/>
      </w:pPr>
      <w:r>
        <w:t>11. Dashboard Deliverables</w:t>
      </w:r>
    </w:p>
    <w:p>
      <w:r>
        <w:t>The project includes an Excel dashboard and a seven-page Power BI dashboard designed for business communication.</w:t>
      </w:r>
    </w:p>
    <w:p>
      <w:pPr>
        <w:pStyle w:val="ListBullet"/>
      </w:pPr>
      <w:r>
        <w:t>Executive Overview — overall KPIs, sales trend, categories, states, reviews and delivery.</w:t>
      </w:r>
    </w:p>
    <w:p>
      <w:pPr>
        <w:pStyle w:val="ListBullet"/>
      </w:pPr>
      <w:r>
        <w:t>Sales Performance Analysis — sales trends, AOV, categories and geographic performance.</w:t>
      </w:r>
    </w:p>
    <w:p>
      <w:pPr>
        <w:pStyle w:val="ListBullet"/>
      </w:pPr>
      <w:r>
        <w:t>Customer Analysis — customer frequency, repeat behavior and geographic distribution.</w:t>
      </w:r>
    </w:p>
    <w:p>
      <w:pPr>
        <w:pStyle w:val="ListBullet"/>
      </w:pPr>
      <w:r>
        <w:t>Product &amp; Seller Analysis — category sales, seller contribution, pricing and item volume.</w:t>
      </w:r>
    </w:p>
    <w:p>
      <w:pPr>
        <w:pStyle w:val="ListBullet"/>
      </w:pPr>
      <w:r>
        <w:t>Delivery &amp; Logistics Analysis — delivery status, delays, delivery time and satisfaction relationship.</w:t>
      </w:r>
    </w:p>
    <w:p>
      <w:pPr>
        <w:pStyle w:val="ListBullet"/>
      </w:pPr>
      <w:r>
        <w:t>Customer Satisfaction Analysis — ratings, low ratings, delivery status and category satisfaction.</w:t>
      </w:r>
    </w:p>
    <w:p>
      <w:pPr>
        <w:pStyle w:val="ListBullet"/>
      </w:pPr>
      <w:r>
        <w:t>Payment Analysis — payment methods, value trends and installment patterns.</w:t>
      </w:r>
    </w:p>
    <w:p>
      <w:pPr>
        <w:pStyle w:val="Heading1"/>
      </w:pPr>
      <w:r>
        <w:t>12. Limitations</w:t>
      </w:r>
    </w:p>
    <w:p>
      <w:pPr>
        <w:pStyle w:val="ListBullet"/>
      </w:pPr>
      <w:r>
        <w:t>The dataset represents a historical Olist marketplace period rather than current e-commerce activity.</w:t>
      </w:r>
    </w:p>
    <w:p>
      <w:pPr>
        <w:pStyle w:val="ListBullet"/>
      </w:pPr>
      <w:r>
        <w:t>The beginning and ending portions contain partial periods, so incomplete months were not interpreted as complete-period trends.</w:t>
      </w:r>
    </w:p>
    <w:p>
      <w:pPr>
        <w:pStyle w:val="ListBullet"/>
      </w:pPr>
      <w:r>
        <w:t>Some orders have missing or inconsistent timestamps; delivery analysis therefore uses valid delivery sequences.</w:t>
      </w:r>
    </w:p>
    <w:p>
      <w:pPr>
        <w:pStyle w:val="ListBullet"/>
      </w:pPr>
      <w:r>
        <w:t>Review records can contain multiple records per order; order-level aggregation was used where necessary.</w:t>
      </w:r>
    </w:p>
    <w:p>
      <w:pPr>
        <w:pStyle w:val="ListBullet"/>
      </w:pPr>
      <w:r>
        <w:t>Seller and category comparisons can be affected by order volume, so minimum-volume thresholds were applied.</w:t>
      </w:r>
    </w:p>
    <w:p>
      <w:pPr>
        <w:pStyle w:val="ListBullet"/>
      </w:pPr>
      <w:r>
        <w:t>The analysis is observational. Associations such as delivery performance and review scores should not be interpreted as causal effects without additional analysis.</w:t>
      </w:r>
    </w:p>
    <w:p>
      <w:pPr>
        <w:pStyle w:val="Heading1"/>
      </w:pPr>
      <w:r>
        <w:t>13. Conclusion</w:t>
      </w:r>
    </w:p>
    <w:p>
      <w:r>
        <w:t>The Olist Brazilian E-Commerce Analytics project demonstrates an end-to-end data analytics workflow from raw transactional data through data-quality assessment, Python analysis, SQL, Excel validation and Power BI reporting. The analysis highlights opportunities around customer retention, category and seller performance, geographic operations, delivery reliability, customer satisfaction, payment behavior and freight.</w:t>
      </w:r>
    </w:p>
    <w:p>
      <w:r>
        <w:t>The project is designed as a practical portfolio demonstration of data preparation, SQL, Excel, Power BI, visualization, KPI design, analytical reasoning and business communication.</w:t>
      </w:r>
    </w:p>
    <w:p>
      <w:pPr>
        <w:pStyle w:val="Heading1"/>
      </w:pPr>
      <w:r>
        <w:t>14. Appendix — KPI Reference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7"/>
              </w:rPr>
              <w:t>KPI</w:t>
            </w:r>
          </w:p>
        </w:tc>
        <w:tc>
          <w:tcPr>
            <w:tcW w:type="dxa" w:w="5040"/>
            <w:vAlign w:val="center"/>
            <w:shd w:fill="D9EAF7"/>
          </w:tcPr>
          <w:p>
            <w:r>
              <w:rPr>
                <w:b/>
                <w:sz w:val="17"/>
              </w:rPr>
              <w:t>Value</w:t>
            </w:r>
          </w:p>
        </w:tc>
      </w:tr>
      <w:tr>
        <w:tc>
          <w:tcPr>
            <w:tcW w:type="dxa" w:w="5040"/>
            <w:vAlign w:val="center"/>
          </w:tcPr>
          <w:p>
            <w:r>
              <w:rPr>
                <w:b w:val="0"/>
                <w:sz w:val="17"/>
              </w:rPr>
              <w:t>Total Orders</w:t>
            </w:r>
          </w:p>
        </w:tc>
        <w:tc>
          <w:tcPr>
            <w:tcW w:type="dxa" w:w="5040"/>
            <w:vAlign w:val="center"/>
          </w:tcPr>
          <w:p>
            <w:r>
              <w:rPr>
                <w:b w:val="0"/>
                <w:sz w:val="17"/>
              </w:rPr>
              <w:t>99,441</w:t>
            </w:r>
          </w:p>
        </w:tc>
      </w:tr>
      <w:tr>
        <w:tc>
          <w:tcPr>
            <w:tcW w:type="dxa" w:w="5040"/>
            <w:vAlign w:val="center"/>
          </w:tcPr>
          <w:p>
            <w:r>
              <w:rPr>
                <w:b w:val="0"/>
                <w:sz w:val="17"/>
              </w:rPr>
              <w:t>Unique Customers</w:t>
            </w:r>
          </w:p>
        </w:tc>
        <w:tc>
          <w:tcPr>
            <w:tcW w:type="dxa" w:w="5040"/>
            <w:vAlign w:val="center"/>
          </w:tcPr>
          <w:p>
            <w:r>
              <w:rPr>
                <w:b w:val="0"/>
                <w:sz w:val="17"/>
              </w:rPr>
              <w:t>96,096</w:t>
            </w:r>
          </w:p>
        </w:tc>
      </w:tr>
      <w:tr>
        <w:tc>
          <w:tcPr>
            <w:tcW w:type="dxa" w:w="5040"/>
            <w:vAlign w:val="center"/>
          </w:tcPr>
          <w:p>
            <w:r>
              <w:rPr>
                <w:b w:val="0"/>
                <w:sz w:val="17"/>
              </w:rPr>
              <w:t>Total Product Sales</w:t>
            </w:r>
          </w:p>
        </w:tc>
        <w:tc>
          <w:tcPr>
            <w:tcW w:type="dxa" w:w="5040"/>
            <w:vAlign w:val="center"/>
          </w:tcPr>
          <w:p>
            <w:r>
              <w:rPr>
                <w:b w:val="0"/>
                <w:sz w:val="17"/>
              </w:rPr>
              <w:t>R$13,591,643.70</w:t>
            </w:r>
          </w:p>
        </w:tc>
      </w:tr>
      <w:tr>
        <w:tc>
          <w:tcPr>
            <w:tcW w:type="dxa" w:w="5040"/>
            <w:vAlign w:val="center"/>
          </w:tcPr>
          <w:p>
            <w:r>
              <w:rPr>
                <w:b w:val="0"/>
                <w:sz w:val="17"/>
              </w:rPr>
              <w:t>Total Freight</w:t>
            </w:r>
          </w:p>
        </w:tc>
        <w:tc>
          <w:tcPr>
            <w:tcW w:type="dxa" w:w="5040"/>
            <w:vAlign w:val="center"/>
          </w:tcPr>
          <w:p>
            <w:r>
              <w:rPr>
                <w:b w:val="0"/>
                <w:sz w:val="17"/>
              </w:rPr>
              <w:t>R$2,251,909.54</w:t>
            </w:r>
          </w:p>
        </w:tc>
      </w:tr>
      <w:tr>
        <w:tc>
          <w:tcPr>
            <w:tcW w:type="dxa" w:w="5040"/>
            <w:vAlign w:val="center"/>
          </w:tcPr>
          <w:p>
            <w:r>
              <w:rPr>
                <w:b w:val="0"/>
                <w:sz w:val="17"/>
              </w:rPr>
              <w:t>Total Order Value</w:t>
            </w:r>
          </w:p>
        </w:tc>
        <w:tc>
          <w:tcPr>
            <w:tcW w:type="dxa" w:w="5040"/>
            <w:vAlign w:val="center"/>
          </w:tcPr>
          <w:p>
            <w:r>
              <w:rPr>
                <w:b w:val="0"/>
                <w:sz w:val="17"/>
              </w:rPr>
              <w:t>R$15,843,553.24</w:t>
            </w:r>
          </w:p>
        </w:tc>
      </w:tr>
      <w:tr>
        <w:tc>
          <w:tcPr>
            <w:tcW w:type="dxa" w:w="5040"/>
            <w:vAlign w:val="center"/>
          </w:tcPr>
          <w:p>
            <w:r>
              <w:rPr>
                <w:b w:val="0"/>
                <w:sz w:val="17"/>
              </w:rPr>
              <w:t>Average Order Value</w:t>
            </w:r>
          </w:p>
        </w:tc>
        <w:tc>
          <w:tcPr>
            <w:tcW w:type="dxa" w:w="5040"/>
            <w:vAlign w:val="center"/>
          </w:tcPr>
          <w:p>
            <w:r>
              <w:rPr>
                <w:b w:val="0"/>
                <w:sz w:val="17"/>
              </w:rPr>
              <w:t>R$160.58</w:t>
            </w:r>
          </w:p>
        </w:tc>
      </w:tr>
      <w:tr>
        <w:tc>
          <w:tcPr>
            <w:tcW w:type="dxa" w:w="5040"/>
            <w:vAlign w:val="center"/>
          </w:tcPr>
          <w:p>
            <w:r>
              <w:rPr>
                <w:b w:val="0"/>
                <w:sz w:val="17"/>
              </w:rPr>
              <w:t>Average Review Score</w:t>
            </w:r>
          </w:p>
        </w:tc>
        <w:tc>
          <w:tcPr>
            <w:tcW w:type="dxa" w:w="5040"/>
            <w:vAlign w:val="center"/>
          </w:tcPr>
          <w:p>
            <w:r>
              <w:rPr>
                <w:b w:val="0"/>
                <w:sz w:val="17"/>
              </w:rPr>
              <w:t>4.09/5</w:t>
            </w:r>
          </w:p>
        </w:tc>
      </w:tr>
      <w:tr>
        <w:tc>
          <w:tcPr>
            <w:tcW w:type="dxa" w:w="5040"/>
            <w:vAlign w:val="center"/>
          </w:tcPr>
          <w:p>
            <w:r>
              <w:rPr>
                <w:b w:val="0"/>
                <w:sz w:val="17"/>
              </w:rPr>
              <w:t>Valid Deliveries</w:t>
            </w:r>
          </w:p>
        </w:tc>
        <w:tc>
          <w:tcPr>
            <w:tcW w:type="dxa" w:w="5040"/>
            <w:vAlign w:val="center"/>
          </w:tcPr>
          <w:p>
            <w:r>
              <w:rPr>
                <w:b w:val="0"/>
                <w:sz w:val="17"/>
              </w:rPr>
              <w:t>96,287</w:t>
            </w:r>
          </w:p>
        </w:tc>
      </w:tr>
      <w:tr>
        <w:tc>
          <w:tcPr>
            <w:tcW w:type="dxa" w:w="5040"/>
            <w:vAlign w:val="center"/>
          </w:tcPr>
          <w:p>
            <w:r>
              <w:rPr>
                <w:b w:val="0"/>
                <w:sz w:val="17"/>
              </w:rPr>
              <w:t>Delayed Deliveries</w:t>
            </w:r>
          </w:p>
        </w:tc>
        <w:tc>
          <w:tcPr>
            <w:tcW w:type="dxa" w:w="5040"/>
            <w:vAlign w:val="center"/>
          </w:tcPr>
          <w:p>
            <w:r>
              <w:rPr>
                <w:b w:val="0"/>
                <w:sz w:val="17"/>
              </w:rPr>
              <w:t>7,823</w:t>
            </w:r>
          </w:p>
        </w:tc>
      </w:tr>
      <w:tr>
        <w:tc>
          <w:tcPr>
            <w:tcW w:type="dxa" w:w="5040"/>
            <w:vAlign w:val="center"/>
          </w:tcPr>
          <w:p>
            <w:r>
              <w:rPr>
                <w:b w:val="0"/>
                <w:sz w:val="17"/>
              </w:rPr>
              <w:t>Delayed Delivery Rate</w:t>
            </w:r>
          </w:p>
        </w:tc>
        <w:tc>
          <w:tcPr>
            <w:tcW w:type="dxa" w:w="5040"/>
            <w:vAlign w:val="center"/>
          </w:tcPr>
          <w:p>
            <w:r>
              <w:rPr>
                <w:b w:val="0"/>
                <w:sz w:val="17"/>
              </w:rPr>
              <w:t>8.12%</w:t>
            </w:r>
          </w:p>
        </w:tc>
      </w:tr>
      <w:tr>
        <w:tc>
          <w:tcPr>
            <w:tcW w:type="dxa" w:w="5040"/>
            <w:vAlign w:val="center"/>
          </w:tcPr>
          <w:p>
            <w:r>
              <w:rPr>
                <w:b w:val="0"/>
                <w:sz w:val="17"/>
              </w:rPr>
              <w:t>One-Time Customers</w:t>
            </w:r>
          </w:p>
        </w:tc>
        <w:tc>
          <w:tcPr>
            <w:tcW w:type="dxa" w:w="5040"/>
            <w:vAlign w:val="center"/>
          </w:tcPr>
          <w:p>
            <w:r>
              <w:rPr>
                <w:b w:val="0"/>
                <w:sz w:val="17"/>
              </w:rPr>
              <w:t>93,099 (96.88%)</w:t>
            </w:r>
          </w:p>
        </w:tc>
      </w:tr>
      <w:tr>
        <w:tc>
          <w:tcPr>
            <w:tcW w:type="dxa" w:w="5040"/>
            <w:vAlign w:val="center"/>
          </w:tcPr>
          <w:p>
            <w:r>
              <w:rPr>
                <w:b w:val="0"/>
                <w:sz w:val="17"/>
              </w:rPr>
              <w:t>Repeat Customers</w:t>
            </w:r>
          </w:p>
        </w:tc>
        <w:tc>
          <w:tcPr>
            <w:tcW w:type="dxa" w:w="5040"/>
            <w:vAlign w:val="center"/>
          </w:tcPr>
          <w:p>
            <w:r>
              <w:rPr>
                <w:b w:val="0"/>
                <w:sz w:val="17"/>
              </w:rPr>
              <w:t>2,997 (3.12%)</w:t>
            </w:r>
          </w:p>
        </w:tc>
      </w:tr>
      <w:tr>
        <w:tc>
          <w:tcPr>
            <w:tcW w:type="dxa" w:w="5040"/>
            <w:vAlign w:val="center"/>
          </w:tcPr>
          <w:p>
            <w:r>
              <w:rPr>
                <w:b w:val="0"/>
                <w:sz w:val="17"/>
              </w:rPr>
              <w:t>Credit Card Payment Value Share</w:t>
            </w:r>
          </w:p>
        </w:tc>
        <w:tc>
          <w:tcPr>
            <w:tcW w:type="dxa" w:w="5040"/>
            <w:vAlign w:val="center"/>
          </w:tcPr>
          <w:p>
            <w:r>
              <w:rPr>
                <w:b w:val="0"/>
                <w:sz w:val="17"/>
              </w:rPr>
              <w:t>78.34%</w:t>
            </w:r>
          </w:p>
        </w:tc>
      </w:tr>
      <w:tr>
        <w:tc>
          <w:tcPr>
            <w:tcW w:type="dxa" w:w="5040"/>
            <w:vAlign w:val="center"/>
          </w:tcPr>
          <w:p>
            <w:r>
              <w:rPr>
                <w:b w:val="0"/>
                <w:sz w:val="17"/>
              </w:rPr>
              <w:t>Freight Share</w:t>
            </w:r>
          </w:p>
        </w:tc>
        <w:tc>
          <w:tcPr>
            <w:tcW w:type="dxa" w:w="5040"/>
            <w:vAlign w:val="center"/>
          </w:tcPr>
          <w:p>
            <w:r>
              <w:rPr>
                <w:b w:val="0"/>
                <w:sz w:val="17"/>
              </w:rPr>
              <w:t>14.21%</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Olist Brazilian E-Commerce Analytics | Aswin C 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