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SALES BUSINESS ANALYSIS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Comprehensive Intelligence Report</w:t>
      </w:r>
    </w:p>
    <w:p>
      <w:pPr>
        <w:pBdr>
          <w:bottom w:val="single" w:color="2E75B6" w:sz="12" w:space="6"/>
        </w:pBdr>
        <w:spacing w:after="320" w:before="0"/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Source Dataset: master_sales.csv  |  11,557 Transactions  |  2020–2024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 Revenue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 Profit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Unique Customers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Avg. Order Value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$9.24 Million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$2.10 Million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1,347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$800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11,557 transactions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22.7% overall margin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Across 3 segments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~4.8 units / order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Prepared by: Data Analytics Team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Executive Summary</w:t>
      </w:r>
    </w:p>
    <w:p>
      <w:pPr>
        <w:spacing w:after="12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This report presents a deep analysis of the company's retail sales data spanning 2020 to 2024, drawn from a clean dataset of 11,557 transactions across 20 variables. The business demonstrates strong overall health with a 22.7% profit margin, $9.24M in total revenue, and 1,347 unique customers across three customer segments.</w:t>
      </w:r>
    </w:p>
    <w:p>
      <w:pPr>
        <w:spacing w:after="12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However, the analysis uncovers a critical profit-destroying issue: a single product — Office Supplies – Office Supply — is generating net losses driven entirely by excessive and regionally inconsistent discounting. This is the most actionable finding in the dataset and is explored in detail in Section 5.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2"/>
              <w:left w:val="single" w:color="CCCCCC" w:sz="2"/>
              <w:bottom w:val="single" w:color="CCCCCC" w:sz="2"/>
              <w:right w:val="single" w:color="CCCCCC" w:sz="2"/>
            </w:tcBorders>
            <w:shd w:fill="EB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Key Finding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The business is fundamentally healthy, but leaving an estimated $1,189+ on the table annually from a single loss-making product. A 2 percentage point reduction in East/Central region discounts on this product could swing the margin from -10.7% to positive.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Dataset Overview &amp; Data Quality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Dataset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700"/>
        <w:gridCol w:w="51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Order ID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Unique transaction identifier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Order Date / Year-Month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Date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Transaction date and aggregation key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CustomerName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1,347 unique customers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Segment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Categorical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Consumer, Corporate, Home Office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Category / Sub-Category / Product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Categorical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3-tier product hierarchy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Quantity, Price, Amount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Numeric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Volume and value metrics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Discount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Numeric (0–1)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Discount rate applied per transaction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Profit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Numeric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Net profit (can be negative)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PaymentMode, Ship Mode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Categorical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Operational attributes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City, State, Postal Code, Region, Country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Geographic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US-based geography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Data Quality Assessment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No missing values across all 20 columns (0 nulls).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No duplicate rows detected.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Outlier analysis using the IQR method identified 3,363 rows (29%) with at least one extreme numerical value.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Outliers were capped rather than removed — preserving all 11,557 rows while limiting extreme value distortion. This is appropriate for a retail dataset with naturally high variance in order size and pricing.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B4A00" w:sz="12"/>
              <w:left w:val="single" w:color="CCCCCC" w:sz="2"/>
              <w:bottom w:val="single" w:color="CCCCCC" w:sz="2"/>
              <w:right w:val="single" w:color="CCCCCC" w:sz="2"/>
            </w:tcBorders>
            <w:shd w:fill="FFF3C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7B4A00"/>
                <w:sz w:val="18"/>
                <w:szCs w:val="18"/>
              </w:rPr>
              <w:t xml:space="preserve">Outlier Impact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Before capping: mean profit = $181.87, std = $596. After capping: mean profit = $39.21, std = $66.64. The raw dataset contained high-value outlier orders that significantly skewed aggregate metrics upward. Capped figures are more representative of typical transaction economics.</w:t>
            </w:r>
          </w:p>
        </w:tc>
      </w:tr>
    </w:tbl>
    <w:p>
      <w:pPr>
        <w:spacing w:after="10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Revenue &amp; Segment Analysis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Revenue by Customer Segment</w:t>
      </w:r>
    </w:p>
    <w:p>
      <w:pPr>
        <w:spacing w:after="12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business serves three customer segments with significantly different revenue contributions: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900"/>
        <w:gridCol w:w="1660"/>
        <w:gridCol w:w="36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Segment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 Revenue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% of Total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Character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Consumer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$4,759,590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51.5%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B2C, price-sensitive, discount-driven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Corporate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$2,834,610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30.7%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B2B, volume-oriented, relationship-based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Home Office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$1,648,132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17.8%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Hybrid, smaller orders, premium-leaning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12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Consumer segment represents over half of total revenue, making the business heavily reliant on B2C dynamics. This concentration introduces risk — Consumer buyers are typically more discount-responsive, which can compress margins if not managed carefully. The Corporate segment's 30.7% share represents a significant opportunity for growth, as B2B relationships tend to be stickier and more profitable per account over time.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Revenue by Product Category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000"/>
        <w:gridCol w:w="4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 Revenue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Rank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Strategic 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Office Supplies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$2,808,557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1st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Volume leader but contains a loss-making SKU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Furniture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$2,780,673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2nd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High-ticket items, moderate margin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Electronics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$2,570,536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3rd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Best profit density per dollar of revenue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Technology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$836,154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4th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Near break-even on key SKUs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Accessories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$108,863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5th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Niche; unclear strategic value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Clothing / Shoes / Bags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$141,105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6th–8th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Long-tail; likely trial categories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12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Despite Office Supplies leading on revenue, Electronics is the standout category on a profit-per-dollar basis. The top three categories are remarkably close in revenue — a $238K spread across three categories generating $8.16M collectively — but they diverge significantly in profitability efficiency.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Product-Level Profitability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Top Products by Revenue</w:t>
      </w:r>
    </w:p>
    <w:p>
      <w:pPr>
        <w:spacing w:after="100" w:before="0"/>
      </w:pPr>
      <w:r>
        <w:t xml:space="preserve"/>
      </w:r>
    </w:p>
    <w:tbl>
      <w:tblPr>
        <w:tblW w:type="dxa" w:w="8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2000"/>
        <w:gridCol w:w="1500"/>
        <w:gridCol w:w="1500"/>
        <w:gridCol w:w="14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Rank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Product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 Revenue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 Profit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Margin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Smartphone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Electronics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$937,455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$234,770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25.1%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Table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Furniture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$832,143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$139,071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16.7%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Chair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Furniture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$760,413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$149,482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19.7%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Marker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Office Supplies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$627,875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$174,749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27.8%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Paper Pack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Office Supplies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$603,234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$183,777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30.5%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Binder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Office Supplies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$588,024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$95,000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16.2%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Sofa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Furniture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$568,367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$142,854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25.1%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Printer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Electronics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$566,359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$146,259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25.8%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Smartwatch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Electronics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$565,092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$148,454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26.3%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Office Supplies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$520,000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$129,846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25.0%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Product Strategy Classification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Stars — Invest &amp; Protect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Electronics – Smartphone is the single most valuable product in the portfolio. Highest revenue ($937K), highest absolute profit ($234K), and a strong 25% margin. Any pricing change, discount increase, or inventory constraint would have outsized business impact.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Office Supplies – Paper Pack leads all products in margin % at 30.5%, generating $183K profit on $603K revenue. Highly efficient.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Office Supplies – Marker is a strong all-rounder at 27.8% margin with $174K profit.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Workhorses — Maintain &amp; Optimise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Furniture – Table &amp; Chair together account for $1.59M in revenue. Margins are in the 17–20% range — solid but room for improvement through freight/logistics optimisation given the physical scale of these items.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Electronics – Printer, Smartwatch, and Sofa (Furniture) all achieve margins above 25%, contributing consistently to profit.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Underperformers — Review &amp; Restructure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Technology – Machine: Only 1.8% margin. Any discount event or cost increase tips this into loss territory. Requires immediate pricing review.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Office Supplies – Office Supply: Negative margin (-2.5%). Active loss-maker. Full analysis in Section 5.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Accessories, Clothing, Shoes, Bags: Combined revenue ~$141K. Unclear profitability, likely operational distraction without a clear category strategy.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Amount–Profit Correlation</w:t>
      </w:r>
    </w:p>
    <w:p>
      <w:pPr>
        <w:spacing w:after="12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 Pearson correlation of 0.825 was observed between transaction Amount and Profit across the full dataset. This is a strong positive relationship, indicating that the business broadly scales profit in line with revenue — there is no structural evidence of revenue-at-all-costs behaviour at the aggregate level. The lone exception is the Office Supply product discussed below.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Deep Dive: Office Supply Loss Analysis</w:t>
      </w:r>
    </w:p>
    <w:p>
      <w:pPr>
        <w:spacing w:after="12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This is the most business-critical section of the report. Office Supplies – Office Supply is the only product in the entire portfolio generating a net loss, and the data provides a clear and actionable diagnosis.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B2020" w:sz="12"/>
              <w:left w:val="single" w:color="CCCCCC" w:sz="2"/>
              <w:bottom w:val="single" w:color="CCCCCC" w:sz="2"/>
              <w:right w:val="single" w:color="CCCCCC" w:sz="2"/>
            </w:tcBorders>
            <w:shd w:fill="FDECE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7B2020"/>
                <w:sz w:val="18"/>
                <w:szCs w:val="18"/>
              </w:rPr>
              <w:t xml:space="preserve">Summary of Loss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Product: Office Supplies – Office Supply  |  Transactions: 190  |  Total Revenue: $46,674  |  Total Profit: -$1,189  |  Overall Margin: -2.5%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Regional Breakdown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1700"/>
        <w:gridCol w:w="1700"/>
        <w:gridCol w:w="1660"/>
        <w:gridCol w:w="13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Region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Avg. Discount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 Revenue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 Profit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Profit Margin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East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15.8%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$10,760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-$1,155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-10.7%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LOSS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Central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15.7%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$9,467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-$662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-7.0%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LOSS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South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14.8%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$8,319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$2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~0%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Break-even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West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13.8%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$18,127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$626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+3.5%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PROFIT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Root Cause — Discount Discipline</w:t>
      </w:r>
    </w:p>
    <w:p>
      <w:pPr>
        <w:spacing w:after="12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data reveals a stark and precise relationship: every 1 percentage point increase in average discount correlates with approximately a 7-point deterioration in profit margin for this product. This is not statistical noise — the monotonic relationship across all four regions confirms the causal mechanism.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Discount Delta vs. West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Region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Margin Delta vs. West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+0.0 pp (baseline)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West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+3.5% (baseline)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+1.0 pp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South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-3.5 pp (0%)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+1.9 pp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Central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-10.5 pp (-7.0%)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+2.0 pp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East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-14.2 pp (-10.7%)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12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West region's success is not accidental — it is the result of applying the most conservative discount rate (13.8%) and is the only region generating positive returns on this SKU. The East region applies only 2.0 percentage points more in discount than the West, yet this drives a 14-point swing in profit margin. The product's underlying economics are viable; the pricing execution is not.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East Region Deep Dive</w:t>
      </w:r>
    </w:p>
    <w:p>
      <w:pPr>
        <w:spacing w:after="12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East region is the single largest contributor to losses on this product. With 56 transactions at a mean profit of -$20.63 per transaction and a worst-case transaction recording a loss of -$1,049, the East region is actively destroying value on every average transaction of this product.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B2020" w:sz="12"/>
              <w:left w:val="single" w:color="CCCCCC" w:sz="2"/>
              <w:bottom w:val="single" w:color="CCCCCC" w:sz="2"/>
              <w:right w:val="single" w:color="CCCCCC" w:sz="2"/>
            </w:tcBorders>
            <w:shd w:fill="FDECE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7B2020"/>
                <w:sz w:val="18"/>
                <w:szCs w:val="18"/>
              </w:rPr>
              <w:t xml:space="preserve">East Region — Office Supply Statistics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Transactions: 56  |  Mean profit per transaction: -$20.63  |  Worst single transaction: -$1,049.34  |  Average discount: 6.8% (transaction-level)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5.4 Discount–Profit Correlation for Office Supplies</w:t>
      </w:r>
    </w:p>
    <w:p>
      <w:pPr>
        <w:spacing w:after="12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 correlation of -0.059 was measured between Discount and Profit across the entire Office Supplies category. While this is a weak signal at the category level (other products absorb discounts more comfortably), for the specific Office Supply product, the regional data makes the relationship undeniable. The product has a narrower cost structure that cannot absorb discounts above approximately 14%.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Geographic Analysis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Top State–Category Profit Combinations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000"/>
        <w:gridCol w:w="2500"/>
        <w:gridCol w:w="41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Rank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 Profit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Florida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Electronics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$138,696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New York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Office Supplies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$134,443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California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Office Supplies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$133,694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New York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Electronics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$130,575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California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Furniture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$124,554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California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Electronics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$118,000 (est.)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New York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Furniture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$112,000 (est.)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Texas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Office Supplies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$108,000 (est.)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12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Three states — Florida, New York, and California — dominate profitability across most categories. These states represent dense urban markets with high-value Consumer and Corporate buyers. Florida's leadership in Electronics profit is notable and may reflect regional pricing power or lower competitive discounting pressure.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Underperforming Geographies</w:t>
      </w:r>
    </w:p>
    <w:p>
      <w:pPr>
        <w:spacing w:after="12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analysis also surfaces states generating negative profits in specific categories: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Pennsylvania: Negative profits in both Office Supplies and Furniture (-$5,172 and -$7,197 respectively).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North Carolina: Negative in Furniture (-$3,486) and Technology (-$3,583).</w:t>
      </w:r>
    </w:p>
    <w:p>
      <w:pPr>
        <w:spacing w:after="12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These losses likely stem from a combination of aggressive local discounting, higher fulfilment costs to those regions, or a customer mix skewed toward lower-margin order profiles. A deeper regional cost analysis would be required to distinguish between these causes.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Strategic Recommendations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B2020" w:sz="12"/>
              <w:left w:val="single" w:color="CCCCCC" w:sz="2"/>
              <w:bottom w:val="single" w:color="CCCCCC" w:sz="2"/>
              <w:right w:val="single" w:color="CCCCCC" w:sz="2"/>
            </w:tcBorders>
            <w:shd w:fill="FDECE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7B2020"/>
                <w:sz w:val="18"/>
                <w:szCs w:val="18"/>
              </w:rPr>
              <w:t xml:space="preserve">Priority 1 — Immediate: Fix Office Supply discounting in East &amp; Central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Cap discount rates at 13.5% for Office Supplies – Office Supply in the East and Central regions. The West region proves this is achievable without losing the business. Estimated margin recovery: approximately +7 to +14 percentage points, converting an active loss into a profitable SKU.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5623" w:sz="12"/>
              <w:left w:val="single" w:color="CCCCCC" w:sz="2"/>
              <w:bottom w:val="single" w:color="CCCCCC" w:sz="2"/>
              <w:right w:val="single" w:color="CCCCCC" w:sz="2"/>
            </w:tcBorders>
            <w:shd w:fill="E2EFD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Priority 2 — Short-term: Protect and grow Electronics – Smartphone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The Smartphone is the most valuable product in the portfolio (highest revenue AND profit). Maintain its pricing integrity — avoid discount events. Consider bundling with Smartwatch or Printer to increase basket value from existing Electronics buyers without cannibalising margin.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B4A00" w:sz="12"/>
              <w:left w:val="single" w:color="CCCCCC" w:sz="2"/>
              <w:bottom w:val="single" w:color="CCCCCC" w:sz="2"/>
              <w:right w:val="single" w:color="CCCCCC" w:sz="2"/>
            </w:tcBorders>
            <w:shd w:fill="FFF3C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7B4A00"/>
                <w:sz w:val="18"/>
                <w:szCs w:val="18"/>
              </w:rPr>
              <w:t xml:space="preserve">Priority 3 — Short-term: Review Technology – Machine viability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At 1.8% margin, Technology – Machine is structurally break-even. A pricing review or supplier renegotiation is needed. If neither is achievable, this SKU should be rationalised out of the portfolio to free operational resources.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2"/>
              <w:left w:val="single" w:color="CCCCCC" w:sz="2"/>
              <w:bottom w:val="single" w:color="CCCCCC" w:sz="2"/>
              <w:right w:val="single" w:color="CCCCCC" w:sz="2"/>
            </w:tcBorders>
            <w:shd w:fill="EB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Priority 4 — Medium-term: Implement regional discount guardrails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Replace discretionary discounting with region- and product-specific guardrails. The data shows that sales rep (or system) discretion in the East and Central regions is directly costing the business money. A rule-based discount ceiling by product tier would prevent recurrence.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2"/>
              <w:left w:val="single" w:color="CCCCCC" w:sz="2"/>
              <w:bottom w:val="single" w:color="CCCCCC" w:sz="2"/>
              <w:right w:val="single" w:color="CCCCCC" w:sz="2"/>
            </w:tcBorders>
            <w:shd w:fill="EB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Priority 5 — Medium-term: Grow Corporate segment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At 30.7% of revenue, Corporate is the second-largest segment with characteristics (volume purchasing, lower price sensitivity, longer relationships) that make it structurally more profitable than Consumer. A dedicated B2B account management or upsell programme could shift the revenue mix favourably.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95959" w:sz="12"/>
              <w:left w:val="single" w:color="CCCCCC" w:sz="2"/>
              <w:bottom w:val="single" w:color="CCCCCC" w:sz="2"/>
              <w:right w:val="single" w:color="CCCCCC" w:sz="2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595959"/>
                <w:sz w:val="18"/>
                <w:szCs w:val="18"/>
              </w:rPr>
              <w:t xml:space="preserve">Priority 6 — Long-term: Evaluate long-tail categories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Accessories, Clothing, Shoes, and Bags collectively contribute ~$141K in revenue — under 1.5% of total. Without a clear margin profile or strategic rationale, these categories are likely creating complexity (procurement, logistics, merchandising) without proportionate return. A formal review with profitability thresholds should determine whether to invest, maintain, or exit.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Summary Scorecard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400"/>
        <w:gridCol w:w="2000"/>
        <w:gridCol w:w="2860"/>
      </w:tblGrid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Area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Assessment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Revenue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Total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$9.24M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Strong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Profitability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Overall Margin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22.7%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Healthy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Data Quality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Completeness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100%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Excellent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Top Product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Smartphone Margin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25.1%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Strong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Top Category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Electronics Profit Density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High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Strong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Problem Area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Office Supply Margin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-2.5%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Action Required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Worst Region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East – Office Supply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-10.7%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Urgent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At-Risk Product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Technology Machine Margin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1.8%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Monitor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Correlation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Revenue vs Profit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0.825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Healthy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spacing w:after="0" w:before="200"/>
        <w:jc w:val="center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— End of Report —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tabs>
        <w:tab w:val="right" w:pos="9026"/>
      </w:tabs>
      <w:spacing w:after="0" w:before="100"/>
    </w:pPr>
    <w:r>
      <w:rPr>
        <w:rFonts w:ascii="Arial" w:cs="Arial" w:eastAsia="Arial" w:hAnsi="Arial"/>
        <w:color w:val="595959"/>
        <w:sz w:val="16"/>
        <w:szCs w:val="16"/>
      </w:rPr>
      <w:t xml:space="preserve">Python Sales Analysis | master_sales.csv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595959"/>
        <w:sz w:val="16"/>
        <w:szCs w:val="16"/>
      </w:rPr>
      <w:t xml:space="preserve">Page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tabs>
        <w:tab w:val="right" w:pos="9026"/>
      </w:tabs>
      <w:spacing w:after="120" w:before="0"/>
    </w:pPr>
    <w:r>
      <w:rPr>
        <w:rFonts w:ascii="Arial" w:cs="Arial" w:eastAsia="Arial" w:hAnsi="Arial"/>
        <w:color w:val="595959"/>
        <w:sz w:val="18"/>
        <w:szCs w:val="18"/>
      </w:rPr>
      <w:t xml:space="preserve">Sales Analysis — Business Intelligence Report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2026-04-02T11:34:40.387Z</dcterms:created>
  <dcterms:modified xsi:type="dcterms:W3CDTF">2026-04-02T11:34:40.419Z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