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Phase 2 – Steering Committee – Notes</w:t>
      </w:r>
    </w:p>
    <w:p>
      <w:r>
        <w:t>Attendees: Robert Hale (sponsor), Nadia Petrova (programme manager), Kwame Asante (finance lead), Lucy Zhang (change manager)</w:t>
      </w:r>
    </w:p>
    <w:p>
      <w:r>
        <w:t>Overall status: Phase 2 is amber.</w:t>
      </w:r>
    </w:p>
    <w:p>
      <w:pPr>
        <w:pStyle w:val="ListBullet"/>
      </w:pPr>
      <w:r>
        <w:t>The inventory module data load failed in the last test cycle because the unit-of-measure codes do not match.</w:t>
      </w:r>
    </w:p>
    <w:p>
      <w:pPr>
        <w:pStyle w:val="ListBullet"/>
      </w:pPr>
      <w:r>
        <w:t>Nadia said that if the finance team cannot release staff for training in November, go-live readiness is at risk.</w:t>
      </w:r>
    </w:p>
    <w:p>
      <w:pPr>
        <w:pStyle w:val="ListBullet"/>
      </w:pPr>
      <w:r>
        <w:t>The committee approved an extra two weeks of hypercare after go-live.</w:t>
      </w:r>
    </w:p>
    <w:p>
      <w:pPr>
        <w:pStyle w:val="ListBullet"/>
      </w:pPr>
      <w:r>
        <w:t>Phase 2 go-live depends on the hardware vendor upgrading the warehouse scanners.</w:t>
      </w:r>
    </w:p>
    <w:p>
      <w:pPr>
        <w:pStyle w:val="ListBullet"/>
      </w:pPr>
      <w:r>
        <w:t>The plan assumes no change freeze over the holiday period.</w:t>
      </w:r>
    </w:p>
    <w:p>
      <w:r>
        <w:t>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Fix the unit-of-measure mapping and rerun the load</w:t>
            </w:r>
          </w:p>
        </w:tc>
        <w:tc>
          <w:tcPr>
            <w:tcW w:type="dxa" w:w="2880"/>
          </w:tcPr>
          <w:p>
            <w:r>
              <w:t>Kwame Asante</w:t>
            </w:r>
          </w:p>
        </w:tc>
        <w:tc>
          <w:tcPr>
            <w:tcW w:type="dxa" w:w="2880"/>
          </w:tcPr>
          <w:p>
            <w:r>
              <w:t>2026-11-04</w:t>
            </w:r>
          </w:p>
        </w:tc>
      </w:tr>
      <w:tr>
        <w:tc>
          <w:tcPr>
            <w:tcW w:type="dxa" w:w="2880"/>
          </w:tcPr>
          <w:p>
            <w:r>
              <w:t>Agree a training release plan with finance managers</w:t>
            </w:r>
          </w:p>
        </w:tc>
        <w:tc>
          <w:tcPr>
            <w:tcW w:type="dxa" w:w="2880"/>
          </w:tcPr>
          <w:p>
            <w:r>
              <w:t>Lucy Zhang</w:t>
            </w:r>
          </w:p>
        </w:tc>
        <w:tc>
          <w:tcPr>
            <w:tcW w:type="dxa" w:w="2880"/>
          </w:tcPr>
          <w:p>
            <w:r>
              <w:t>2026-11-09</w:t>
            </w:r>
          </w:p>
        </w:tc>
      </w:tr>
      <w:tr>
        <w:tc>
          <w:tcPr>
            <w:tcW w:type="dxa" w:w="2880"/>
          </w:tcPr>
          <w:p>
            <w:r>
              <w:t>Confirm the scanner upgrade date with the vendor</w:t>
            </w:r>
          </w:p>
        </w:tc>
        <w:tc>
          <w:tcPr>
            <w:tcW w:type="dxa" w:w="2880"/>
          </w:tcPr>
          <w:p>
            <w:r>
              <w:t>Nadia Petrova</w:t>
            </w:r>
          </w:p>
        </w:tc>
        <w:tc>
          <w:tcPr>
            <w:tcW w:type="dxa" w:w="2880"/>
          </w:tcPr>
          <w:p>
            <w:r>
              <w:t>Not 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