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12" w:lineRule="auto"/>
        <w:jc w:val="center"/>
        <w:rPr>
          <w:b w:val="1"/>
          <w:bCs w:val="1"/>
          <w:sz w:val="24"/>
          <w:szCs w:val="24"/>
        </w:rPr>
      </w:pPr>
      <w:bookmarkStart w:colFirst="0" w:colLast="0" w:name="_i3ia7fdylb0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312" w:lineRule="auto"/>
        <w:rPr>
          <w:b w:val="1"/>
          <w:bCs w:val="1"/>
          <w:sz w:val="20"/>
          <w:szCs w:val="20"/>
        </w:rPr>
      </w:pPr>
      <w:bookmarkStart w:colFirst="0" w:colLast="0" w:name="_g6yn3ukttfjg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986.61621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1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.8730468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is controlled according to ACL rules.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135.8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access is controlled by ACL.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732.8222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access is controlled according to ACL conditions.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790.8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access is controlled by ACL.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access works as configured.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733.847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Field-value based access works as configured.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  <w:tr>
        <w:trPr>
          <w:cantSplit w:val="0"/>
          <w:trHeight w:val="1446.7968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tested operations respond according to configured ACL rules.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