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02 October,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6ab7ec71d083b0e2ee72a0a3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200" w:line="276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20"/>
                <w:szCs w:val="20"/>
                <w:rtl w:val="0"/>
              </w:rPr>
              <w:t xml:space="preserve">Script-Controlled ACL – Restrict Record Access Based on Field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400"/>
        <w:gridCol w:w="3360"/>
        <w:gridCol w:w="2850"/>
        <w:tblGridChange w:id="0">
          <w:tblGrid>
            <w:gridCol w:w="735"/>
            <w:gridCol w:w="2400"/>
            <w:gridCol w:w="3360"/>
            <w:gridCol w:w="285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Values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Screenshot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Metrics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Authorized Access: Allowed</w:t>
            </w:r>
          </w:p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Unauthorized Access: Denied</w:t>
            </w:r>
          </w:p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Operations Tested: READ, CREATE, WRITE and DELETE 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</w:rPr>
              <w:drawing>
                <wp:inline distB="114300" distT="114300" distL="114300" distR="114300">
                  <wp:extent cx="1676400" cy="93980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939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Tune the Model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Conditions: User role + record field value</w:t>
            </w:r>
          </w:p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Validation: ACL rules tested and refined for required access operations 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</w:rPr>
              <w:drawing>
                <wp:inline distB="114300" distT="114300" distL="114300" distR="114300">
                  <wp:extent cx="1676400" cy="7747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774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8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