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280" w:lineRule="auto"/>
        <w:rPr>
          <w:rFonts w:ascii="Times New Roman" w:cs="Times New Roman" w:eastAsia="Times New Roman" w:hAnsi="Times New Roman"/>
          <w:b w:val="1"/>
          <w:bCs w:val="1"/>
          <w:color w:val="000000"/>
          <w:sz w:val="26"/>
          <w:szCs w:val="26"/>
        </w:rPr>
      </w:pPr>
      <w:bookmarkStart w:colFirst="0" w:colLast="0" w:name="_aig17q92hdh2" w:id="0"/>
      <w:bookmarkEnd w:id="0"/>
      <w:r w:rsidDel="00000000" w:rsidR="00000000" w:rsidRPr="00000000">
        <w:rPr>
          <w:rFonts w:ascii="Times New Roman" w:cs="Times New Roman" w:eastAsia="Times New Roman" w:hAnsi="Times New Roman"/>
          <w:b w:val="1"/>
          <w:bCs w:val="1"/>
          <w:color w:val="000000"/>
          <w:sz w:val="26"/>
          <w:szCs w:val="26"/>
          <w:rtl w:val="0"/>
        </w:rPr>
        <w:t xml:space="preserve">Title Page: </w:t>
      </w:r>
    </w:p>
    <w:p w:rsidR="00000000" w:rsidDel="00000000" w:rsidP="00000000" w:rsidRDefault="00000000" w:rsidRPr="00000000" w14:paraId="00000002">
      <w:pPr>
        <w:pStyle w:val="Heading3"/>
        <w:keepNext w:val="0"/>
        <w:keepLines w:val="0"/>
        <w:spacing w:after="160" w:before="280" w:lineRule="auto"/>
        <w:jc w:val="center"/>
        <w:rPr>
          <w:rFonts w:ascii="Times New Roman" w:cs="Times New Roman" w:eastAsia="Times New Roman" w:hAnsi="Times New Roman"/>
          <w:color w:val="000000"/>
        </w:rPr>
      </w:pPr>
      <w:bookmarkStart w:colFirst="0" w:colLast="0" w:name="_6m0q40gx61o4" w:id="1"/>
      <w:bookmarkEnd w:id="1"/>
      <w:r w:rsidDel="00000000" w:rsidR="00000000" w:rsidRPr="00000000">
        <w:rPr>
          <w:rFonts w:ascii="Times New Roman" w:cs="Times New Roman" w:eastAsia="Times New Roman" w:hAnsi="Times New Roman"/>
          <w:color w:val="000000"/>
          <w:rtl w:val="0"/>
        </w:rPr>
        <w:t xml:space="preserve">Augmenting the Precision of Iron Deficiency Anaemia Risk Assessment in Pediatric Patients using Deep Convolutional Neural Networks in comparison with Multilayer Perceptron Algorithm</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Devarakonda Reena Yasmeen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A.Gnana Soundari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pStyle w:val="Heading3"/>
        <w:keepNext w:val="0"/>
        <w:keepLines w:val="0"/>
        <w:spacing w:after="160" w:before="280" w:lineRule="auto"/>
        <w:jc w:val="center"/>
        <w:rPr>
          <w:rFonts w:ascii="Times New Roman" w:cs="Times New Roman" w:eastAsia="Times New Roman" w:hAnsi="Times New Roman"/>
          <w:sz w:val="24"/>
          <w:szCs w:val="24"/>
        </w:rPr>
      </w:pPr>
      <w:bookmarkStart w:colFirst="0" w:colLast="0" w:name="_b3tgxsdrbsfd" w:id="2"/>
      <w:bookmarkEnd w:id="2"/>
      <w:r w:rsidDel="00000000" w:rsidR="00000000" w:rsidRPr="00000000">
        <w:rPr>
          <w:rFonts w:ascii="Times New Roman" w:cs="Times New Roman" w:eastAsia="Times New Roman" w:hAnsi="Times New Roman"/>
          <w:b w:val="1"/>
          <w:bCs w:val="1"/>
          <w:color w:val="000000"/>
          <w:sz w:val="40"/>
          <w:szCs w:val="40"/>
          <w:vertAlign w:val="superscript"/>
          <w:rtl w:val="0"/>
        </w:rPr>
        <w:t xml:space="preserve">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Devarakonda Reena Yasmeen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reenayasmeend1261.sse@saveetha.com.</w:t>
      </w:r>
    </w:p>
    <w:p w:rsidR="00000000" w:rsidDel="00000000" w:rsidP="00000000" w:rsidRDefault="00000000" w:rsidRPr="00000000" w14:paraId="0000000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A.Gnana Soundari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gnanasoundaria.sse@saveetha.com.</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rtl w:val="0"/>
        </w:rPr>
        <w:t xml:space="preserve">Iron Deficiency, Anaemia</w:t>
      </w:r>
      <w:r w:rsidDel="00000000" w:rsidR="00000000" w:rsidRPr="00000000">
        <w:rPr>
          <w:rFonts w:ascii="Times New Roman" w:cs="Times New Roman" w:eastAsia="Times New Roman" w:hAnsi="Times New Roman"/>
          <w:sz w:val="24"/>
          <w:szCs w:val="24"/>
          <w:rtl w:val="0"/>
        </w:rPr>
        <w:t xml:space="preserve">, Pediatric patients, Novel Deep Convolutional Neural Network, Multilayer Perceptron, Diagnosis, Healthcare, Machine Learning </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aim of this study is to develop and evaluate a predictive model for assessing the risk of Iron Deficiency Anaemia (IDA) in pediatric patients using Deep Convolutional Neural Networks (CNNs) and compare its performance with that of the Multilayer Perceptron (MLP) algorithm.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The dataset used in this study was sourced from Kaggle, a renowned platform for open datasets.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 this study, two distinct groups were utilized for comparative analysis: Group 1 employed the Multilayer Perceptron (MLP) algorithm, while Group 2 employed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The total sample size consisted of 40 participants, with each group comprising 20 samples. For performance comparison between the MLP and DCNN algorithms, accuracy was employed as the primary evaluation metric. Statistical analysis was conducted using the clincalc.com platform. To determine the required sample size for statistical analysis, a power analysis was conducted using the G-power software with specified parameters: statistical power (G-power) set at 80%, alpha (α) value at 0.05, and beta (β) value at 0.2, providing a confidence interval of 95%. </w:t>
      </w: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The results of the analysis revealed notable differences in accuracy between the two groups. The accuracy of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was found to be 92.30%, while the Multilayer Perceptron (MLP) algorithm achieved an accuracy of 88.30%.</w:t>
      </w:r>
      <w:r w:rsidDel="00000000" w:rsidR="00000000" w:rsidRPr="00000000">
        <w:rPr>
          <w:rFonts w:ascii="Times New Roman" w:cs="Times New Roman" w:eastAsia="Times New Roman" w:hAnsi="Times New Roman"/>
          <w:sz w:val="24"/>
          <w:szCs w:val="24"/>
          <w:rtl w:val="0"/>
        </w:rPr>
        <w:t xml:space="preserve"> A two-tailed significance test was conducted, yielding a p-value of 0.010, which is less than the predefined significance level of p&lt;0.05.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conclusion, this study highlights the potential of Deep Convolutional Neural Networks (DCNNs) as a valuable tool for the assessment of Iron Deficiency Anaemia (IDA) risk in pediatric patients.</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rtl w:val="0"/>
        </w:rPr>
        <w:t xml:space="preserve">Iron Deficiency, Anaemia</w:t>
      </w:r>
      <w:r w:rsidDel="00000000" w:rsidR="00000000" w:rsidRPr="00000000">
        <w:rPr>
          <w:rFonts w:ascii="Times New Roman" w:cs="Times New Roman" w:eastAsia="Times New Roman" w:hAnsi="Times New Roman"/>
          <w:sz w:val="24"/>
          <w:szCs w:val="24"/>
          <w:rtl w:val="0"/>
        </w:rPr>
        <w:t xml:space="preserve">, Pediatric patients, Novel Deep Convolutional Neural Network, Multilayer Perceptron, Diagnosis, Healthcare, Machine Learning</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Deficiency Anaemia (IDA) is a common medical condition characterized by insufficient iron levels in the body, leading to reduced red blood cell production and subsequent oxygen-carrying capacity</w:t>
      </w:r>
      <w:hyperlink r:id="rId6">
        <w:r w:rsidDel="00000000" w:rsidR="00000000" w:rsidRPr="00000000">
          <w:rPr>
            <w:rFonts w:ascii="Times New Roman" w:cs="Times New Roman" w:eastAsia="Times New Roman" w:hAnsi="Times New Roman"/>
            <w:sz w:val="24"/>
            <w:szCs w:val="24"/>
            <w:rtl w:val="0"/>
          </w:rPr>
          <w:t xml:space="preserve"> (Saputra, Sunat, and Ratnaningsih 2023)</w:t>
        </w:r>
      </w:hyperlink>
      <w:r w:rsidDel="00000000" w:rsidR="00000000" w:rsidRPr="00000000">
        <w:rPr>
          <w:rFonts w:ascii="Times New Roman" w:cs="Times New Roman" w:eastAsia="Times New Roman" w:hAnsi="Times New Roman"/>
          <w:sz w:val="24"/>
          <w:szCs w:val="24"/>
          <w:rtl w:val="0"/>
        </w:rPr>
        <w:t xml:space="preserve">. IDA can result from various factors, including inadequate dietary intake, malabsorption, or chronic blood loss. Symptoms of IDA may include fatigue, weakness, pale skin, and impaired cognitive development, particularly in pediatric patients. Timely diagnosis and intervention are essential to prevent long-term health complications, making accurate assessment methods a priority in healthcare</w:t>
      </w:r>
      <w:hyperlink r:id="rId7">
        <w:r w:rsidDel="00000000" w:rsidR="00000000" w:rsidRPr="00000000">
          <w:rPr>
            <w:rFonts w:ascii="Times New Roman" w:cs="Times New Roman" w:eastAsia="Times New Roman" w:hAnsi="Times New Roman"/>
            <w:sz w:val="24"/>
            <w:szCs w:val="24"/>
            <w:rtl w:val="0"/>
          </w:rPr>
          <w:t xml:space="preserve"> (Tran, Nguyen-Dinh-Nguyen, and Nguyen 2023)</w:t>
        </w:r>
      </w:hyperlink>
      <w:r w:rsidDel="00000000" w:rsidR="00000000" w:rsidRPr="00000000">
        <w:rPr>
          <w:rFonts w:ascii="Times New Roman" w:cs="Times New Roman" w:eastAsia="Times New Roman" w:hAnsi="Times New Roman"/>
          <w:sz w:val="24"/>
          <w:szCs w:val="24"/>
          <w:rtl w:val="0"/>
        </w:rPr>
        <w:t xml:space="preserve">. Traditional methods for assessing IDA often rely on clinical parameters and blood tests, which can have limitations in terms of accuracy and efficiency. To address these drawbacks, this study proposes the use of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for IDA risk assessment and compares its performance with the Multilayer Perceptron (MLP) algorithm</w:t>
      </w:r>
      <w:hyperlink r:id="rId8">
        <w:r w:rsidDel="00000000" w:rsidR="00000000" w:rsidRPr="00000000">
          <w:rPr>
            <w:rFonts w:ascii="Times New Roman" w:cs="Times New Roman" w:eastAsia="Times New Roman" w:hAnsi="Times New Roman"/>
            <w:sz w:val="24"/>
            <w:szCs w:val="24"/>
            <w:rtl w:val="0"/>
          </w:rPr>
          <w:t xml:space="preserve"> (Sekhar 2023)</w:t>
        </w:r>
      </w:hyperlink>
      <w:r w:rsidDel="00000000" w:rsidR="00000000" w:rsidRPr="00000000">
        <w:rPr>
          <w:rFonts w:ascii="Times New Roman" w:cs="Times New Roman" w:eastAsia="Times New Roman" w:hAnsi="Times New Roman"/>
          <w:sz w:val="24"/>
          <w:szCs w:val="24"/>
          <w:rtl w:val="0"/>
        </w:rPr>
        <w:t xml:space="preserve">. The objective is to evaluate whether advanced machine learning techniques, specifically deep learning with DCNNs, can improve the accuracy of IDA risk assessment in pediatric patients, potentially revolutionizing the diagnostic process and enhancing patient care.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application of advanced machine learning techniques in healthcare, as demonstrated by this study, could lead to improved patient care, reduced healthcare costs, and enhanced quality of life for individuals at risk of IDA</w:t>
      </w:r>
      <w:hyperlink r:id="rId9">
        <w:r w:rsidDel="00000000" w:rsidR="00000000" w:rsidRPr="00000000">
          <w:rPr>
            <w:rFonts w:ascii="Times New Roman" w:cs="Times New Roman" w:eastAsia="Times New Roman" w:hAnsi="Times New Roman"/>
            <w:sz w:val="24"/>
            <w:szCs w:val="24"/>
            <w:rtl w:val="0"/>
          </w:rPr>
          <w:t xml:space="preserve"> (Hasan et al. 2023)</w:t>
        </w:r>
      </w:hyperlink>
      <w:r w:rsidDel="00000000" w:rsidR="00000000" w:rsidRPr="00000000">
        <w:rPr>
          <w:rFonts w:ascii="Times New Roman" w:cs="Times New Roman" w:eastAsia="Times New Roman" w:hAnsi="Times New Roman"/>
          <w:sz w:val="24"/>
          <w:szCs w:val="24"/>
          <w:rtl w:val="0"/>
        </w:rPr>
        <w:t xml:space="preserve">. Moreover, the methodology employed in this study could potentially serve as a blueprint for integrating deep learning into various other medical diagnostic processes, highlighting the broader applicability of such techniques in healthcare</w:t>
      </w:r>
      <w:hyperlink r:id="rId10">
        <w:r w:rsidDel="00000000" w:rsidR="00000000" w:rsidRPr="00000000">
          <w:rPr>
            <w:rFonts w:ascii="Times New Roman" w:cs="Times New Roman" w:eastAsia="Times New Roman" w:hAnsi="Times New Roman"/>
            <w:sz w:val="24"/>
            <w:szCs w:val="24"/>
            <w:rtl w:val="0"/>
          </w:rPr>
          <w:t xml:space="preserve"> (Ferih et al.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authors conducted research utilizing distinct machine learning algorithms to assess the risk of Iron Deficiency Anaemia (IDA)</w:t>
      </w:r>
      <w:hyperlink r:id="rId11">
        <w:r w:rsidDel="00000000" w:rsidR="00000000" w:rsidRPr="00000000">
          <w:rPr>
            <w:rFonts w:ascii="Times New Roman" w:cs="Times New Roman" w:eastAsia="Times New Roman" w:hAnsi="Times New Roman"/>
            <w:sz w:val="24"/>
            <w:szCs w:val="24"/>
            <w:rtl w:val="0"/>
          </w:rPr>
          <w:t xml:space="preserve"> (Islam et al. 2022; Epah et al. 2022; Parrott et al. 2023; Schöler et al. 2022)</w:t>
        </w:r>
      </w:hyperlink>
      <w:r w:rsidDel="00000000" w:rsidR="00000000" w:rsidRPr="00000000">
        <w:rPr>
          <w:rFonts w:ascii="Times New Roman" w:cs="Times New Roman" w:eastAsia="Times New Roman" w:hAnsi="Times New Roman"/>
          <w:sz w:val="24"/>
          <w:szCs w:val="24"/>
          <w:rtl w:val="0"/>
        </w:rPr>
        <w:t xml:space="preserve">. A total of 145 research papers can be found on IEEE </w:t>
      </w:r>
      <w:r w:rsidDel="00000000" w:rsidR="00000000" w:rsidRPr="00000000">
        <w:rPr>
          <w:rFonts w:ascii="Times New Roman" w:cs="Times New Roman" w:eastAsia="Times New Roman" w:hAnsi="Times New Roman"/>
          <w:sz w:val="24"/>
          <w:szCs w:val="24"/>
          <w:rtl w:val="0"/>
        </w:rPr>
        <w:t xml:space="preserve">Explore</w:t>
      </w:r>
      <w:r w:rsidDel="00000000" w:rsidR="00000000" w:rsidRPr="00000000">
        <w:rPr>
          <w:rFonts w:ascii="Times New Roman" w:cs="Times New Roman" w:eastAsia="Times New Roman" w:hAnsi="Times New Roman"/>
          <w:sz w:val="24"/>
          <w:szCs w:val="24"/>
          <w:rtl w:val="0"/>
        </w:rPr>
        <w:t xml:space="preserve">, and an additional 176 research articles are accessible via Google Scholar. Shuang et al.</w:t>
      </w:r>
      <w:hyperlink r:id="rId12">
        <w:r w:rsidDel="00000000" w:rsidR="00000000" w:rsidRPr="00000000">
          <w:rPr>
            <w:rFonts w:ascii="Times New Roman" w:cs="Times New Roman" w:eastAsia="Times New Roman" w:hAnsi="Times New Roman"/>
            <w:sz w:val="24"/>
            <w:szCs w:val="24"/>
            <w:rtl w:val="0"/>
          </w:rPr>
          <w:t xml:space="preserve"> (Shuang et al. 2023)</w:t>
        </w:r>
      </w:hyperlink>
      <w:r w:rsidDel="00000000" w:rsidR="00000000" w:rsidRPr="00000000">
        <w:rPr>
          <w:rFonts w:ascii="Times New Roman" w:cs="Times New Roman" w:eastAsia="Times New Roman" w:hAnsi="Times New Roman"/>
          <w:sz w:val="24"/>
          <w:szCs w:val="24"/>
          <w:rtl w:val="0"/>
        </w:rPr>
        <w:t xml:space="preserve"> utilized a Support Vector Machine (SVM), demonstrating its competitive performance in terms of sensitivity and specificity, suggesting SVM as a viable alternative for accurate IDA diagnosis. In another study, Vohra et al.</w:t>
      </w:r>
      <w:hyperlink r:id="rId13">
        <w:r w:rsidDel="00000000" w:rsidR="00000000" w:rsidRPr="00000000">
          <w:rPr>
            <w:rFonts w:ascii="Times New Roman" w:cs="Times New Roman" w:eastAsia="Times New Roman" w:hAnsi="Times New Roman"/>
            <w:sz w:val="24"/>
            <w:szCs w:val="24"/>
            <w:rtl w:val="0"/>
          </w:rPr>
          <w:t xml:space="preserve"> (Vohra et al. 2022)</w:t>
        </w:r>
      </w:hyperlink>
      <w:r w:rsidDel="00000000" w:rsidR="00000000" w:rsidRPr="00000000">
        <w:rPr>
          <w:rFonts w:ascii="Times New Roman" w:cs="Times New Roman" w:eastAsia="Times New Roman" w:hAnsi="Times New Roman"/>
          <w:sz w:val="24"/>
          <w:szCs w:val="24"/>
          <w:rtl w:val="0"/>
        </w:rPr>
        <w:t xml:space="preserve"> employed a Random Forest algorithm, which excelled in capturing complex relationships within the data, resulting in improved diagnostic accuracy. Additionally, Fuadah et al.</w:t>
      </w:r>
      <w:hyperlink r:id="rId14">
        <w:r w:rsidDel="00000000" w:rsidR="00000000" w:rsidRPr="00000000">
          <w:rPr>
            <w:rFonts w:ascii="Times New Roman" w:cs="Times New Roman" w:eastAsia="Times New Roman" w:hAnsi="Times New Roman"/>
            <w:sz w:val="24"/>
            <w:szCs w:val="24"/>
            <w:rtl w:val="0"/>
          </w:rPr>
          <w:t xml:space="preserve"> (Fuadah et al. 2020)</w:t>
        </w:r>
      </w:hyperlink>
      <w:r w:rsidDel="00000000" w:rsidR="00000000" w:rsidRPr="00000000">
        <w:rPr>
          <w:rFonts w:ascii="Times New Roman" w:cs="Times New Roman" w:eastAsia="Times New Roman" w:hAnsi="Times New Roman"/>
          <w:sz w:val="24"/>
          <w:szCs w:val="24"/>
          <w:rtl w:val="0"/>
        </w:rPr>
        <w:t xml:space="preserve"> explored the effectiveness of a K-Nearest Neighbors (K-NN) algorithm, finding that K-NN provided satisfactory IDA risk assessment, particularly when considering neighboring patient profiles. Meanwhile, another study led by Nivaggioni et al.</w:t>
      </w:r>
      <w:hyperlink r:id="rId15">
        <w:r w:rsidDel="00000000" w:rsidR="00000000" w:rsidRPr="00000000">
          <w:rPr>
            <w:rFonts w:ascii="Times New Roman" w:cs="Times New Roman" w:eastAsia="Times New Roman" w:hAnsi="Times New Roman"/>
            <w:sz w:val="24"/>
            <w:szCs w:val="24"/>
            <w:rtl w:val="0"/>
          </w:rPr>
          <w:t xml:space="preserve"> (Nivaggioni et al. 2020)</w:t>
        </w:r>
      </w:hyperlink>
      <w:r w:rsidDel="00000000" w:rsidR="00000000" w:rsidRPr="00000000">
        <w:rPr>
          <w:rFonts w:ascii="Times New Roman" w:cs="Times New Roman" w:eastAsia="Times New Roman" w:hAnsi="Times New Roman"/>
          <w:sz w:val="24"/>
          <w:szCs w:val="24"/>
          <w:rtl w:val="0"/>
        </w:rPr>
        <w:t xml:space="preserve"> applied a Decision Tree algorithm, known for its transparency in decision-making and its ability to identify key features crucial for accurate IDA diagnosis. Furthermore, Aishwarya et al.</w:t>
      </w:r>
      <w:hyperlink r:id="rId16">
        <w:r w:rsidDel="00000000" w:rsidR="00000000" w:rsidRPr="00000000">
          <w:rPr>
            <w:rFonts w:ascii="Times New Roman" w:cs="Times New Roman" w:eastAsia="Times New Roman" w:hAnsi="Times New Roman"/>
            <w:sz w:val="24"/>
            <w:szCs w:val="24"/>
            <w:rtl w:val="0"/>
          </w:rPr>
          <w:t xml:space="preserve"> (Aishwarya 2023)</w:t>
        </w:r>
      </w:hyperlink>
      <w:r w:rsidDel="00000000" w:rsidR="00000000" w:rsidRPr="00000000">
        <w:rPr>
          <w:rFonts w:ascii="Times New Roman" w:cs="Times New Roman" w:eastAsia="Times New Roman" w:hAnsi="Times New Roman"/>
          <w:sz w:val="24"/>
          <w:szCs w:val="24"/>
          <w:rtl w:val="0"/>
        </w:rPr>
        <w:t xml:space="preserve"> focused on enhancing IDA detection through the use of a Gradient Boosting algorithm, which effectively leveraged the strengths of individual weak learners, leading to improved diagnostic performance. In a separate investigation, Pollock et al.</w:t>
      </w:r>
      <w:hyperlink r:id="rId17">
        <w:r w:rsidDel="00000000" w:rsidR="00000000" w:rsidRPr="00000000">
          <w:rPr>
            <w:rFonts w:ascii="Times New Roman" w:cs="Times New Roman" w:eastAsia="Times New Roman" w:hAnsi="Times New Roman"/>
            <w:sz w:val="24"/>
            <w:szCs w:val="24"/>
            <w:rtl w:val="0"/>
          </w:rPr>
          <w:t xml:space="preserve"> (Pollock and Biggar 2020)</w:t>
        </w:r>
      </w:hyperlink>
      <w:r w:rsidDel="00000000" w:rsidR="00000000" w:rsidRPr="00000000">
        <w:rPr>
          <w:rFonts w:ascii="Times New Roman" w:cs="Times New Roman" w:eastAsia="Times New Roman" w:hAnsi="Times New Roman"/>
          <w:sz w:val="24"/>
          <w:szCs w:val="24"/>
          <w:rtl w:val="0"/>
        </w:rPr>
        <w:t xml:space="preserve"> explored the potential of a Naive Bayes algorithm, with findings indicating that Naive Bayes provided reliable IDA risk predictions, particularly in cases with a strong probabilistic basis. Lastly, a study by Wang et al.</w:t>
      </w:r>
      <w:hyperlink r:id="rId18">
        <w:r w:rsidDel="00000000" w:rsidR="00000000" w:rsidRPr="00000000">
          <w:rPr>
            <w:rFonts w:ascii="Times New Roman" w:cs="Times New Roman" w:eastAsia="Times New Roman" w:hAnsi="Times New Roman"/>
            <w:sz w:val="24"/>
            <w:szCs w:val="24"/>
            <w:rtl w:val="0"/>
          </w:rPr>
          <w:t xml:space="preserve"> (Wang, Fan, and Liu 2021)</w:t>
        </w:r>
      </w:hyperlink>
      <w:r w:rsidDel="00000000" w:rsidR="00000000" w:rsidRPr="00000000">
        <w:rPr>
          <w:rFonts w:ascii="Times New Roman" w:cs="Times New Roman" w:eastAsia="Times New Roman" w:hAnsi="Times New Roman"/>
          <w:sz w:val="24"/>
          <w:szCs w:val="24"/>
          <w:rtl w:val="0"/>
        </w:rPr>
        <w:t xml:space="preserve"> employed a Recurrent Neural Network (RNN) for IDA diagnosis, demonstrating the RNN's proficiency in capturing sequential dependencies in patient data, thus showing promise for accurate risk assessment. Among these studies, the one employing the Random Forest algorithm stood out as the best study</w:t>
      </w:r>
      <w:hyperlink r:id="rId19">
        <w:r w:rsidDel="00000000" w:rsidR="00000000" w:rsidRPr="00000000">
          <w:rPr>
            <w:rFonts w:ascii="Times New Roman" w:cs="Times New Roman" w:eastAsia="Times New Roman" w:hAnsi="Times New Roman"/>
            <w:sz w:val="24"/>
            <w:szCs w:val="24"/>
            <w:rtl w:val="0"/>
          </w:rPr>
          <w:t xml:space="preserve"> (Vohra et al. 2022)</w:t>
        </w:r>
      </w:hyperlink>
      <w:r w:rsidDel="00000000" w:rsidR="00000000" w:rsidRPr="00000000">
        <w:rPr>
          <w:rFonts w:ascii="Times New Roman" w:cs="Times New Roman" w:eastAsia="Times New Roman" w:hAnsi="Times New Roman"/>
          <w:sz w:val="24"/>
          <w:szCs w:val="24"/>
          <w:rtl w:val="0"/>
        </w:rPr>
        <w:t xml:space="preserve"> due to its ability to capture complex relationships within the data and achieve improved diagnostic accuracy. The Random Forest algorithm's capability to handle intricate patterns in medical data can be particularly valuable in the context of IDA assessment, where subtle and multifaceted indicators may be present.</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notable drawback of the Multilayer Perceptron (MLP) algorithm in the context of Iron Deficiency Anaemia (IDA) assessment is its limited capacity to extract intricate visual patterns and features from medical images, such as bone marrow or peripheral blood smears. MLPs typically require handcrafted feature engineering, which can be challenging and subjective when dealing with complex image data. In contrast, the proposed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overcomes this limitation by leveraging its innate ability to automatically learn and hierarchically extract relevant features from images. This capability enables DCNNs to identify subtle and nuanced visual cues associated with IDA, enhancing the accuracy and precision of IDA risk assessment. The existing experience in research with DCNNs in medical image analysis has demonstrated their effectiveness in various diagnostic tasks, and the aim of this study is to harness this potential to improve the early detection and management of IDA in pediatric patients, ultimately enhancing healthcare outcomes in this vulnerable population.</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the Department of Computer Science and Engineering at Saveetha University. In this study, two distinct groups were employed to assess the performance of the Multilayer Perceptron (MLP) algorithm (Group 1) and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(Group 2) in the context of Iron Deficiency Anaemia (IDA) risk assessment. The total sample size for this comparative analysis consisted of 40 samples, equally divided into two groups, with each group comprising 20 samples. The sample size calculation for this statistical analysis was performed using appropriate methodologies. For the implementation of both the MLP and DCNN algorithms, Python programming language was used along with relevant deep learning libraries, including TensorFlow and PyTorch, for model development and training. The algorithms were trained and evaluated on a dataset obtained from Kaggle, which contained a diverse set of clinical records, demographic information, and medical images from pediatric patients diagnosed with IDA. To compare the performance of the two algorithms, accuracy was chosen as the primary evaluation metric. Statistical analysis was conducted using the online platform clincalc.com, with a statistical power (G-power) set at 80%. Significance levels were defined with alpha (α) and beta (β) values at 0.05 and 0.2, respectively, and a confidence interval of 95%</w:t>
      </w:r>
      <w:hyperlink r:id="rId20">
        <w:r w:rsidDel="00000000" w:rsidR="00000000" w:rsidRPr="00000000">
          <w:rPr>
            <w:rFonts w:ascii="Times New Roman" w:cs="Times New Roman" w:eastAsia="Times New Roman" w:hAnsi="Times New Roman"/>
            <w:sz w:val="24"/>
            <w:szCs w:val="24"/>
            <w:rtl w:val="0"/>
          </w:rPr>
          <w:t xml:space="preserve"> (Kurstjens, De Bel, and Van Der Horst 2022)</w:t>
        </w:r>
      </w:hyperlink>
      <w:r w:rsidDel="00000000" w:rsidR="00000000" w:rsidRPr="00000000">
        <w:rPr>
          <w:rFonts w:ascii="Times New Roman" w:cs="Times New Roman" w:eastAsia="Times New Roman" w:hAnsi="Times New Roman"/>
          <w:sz w:val="24"/>
          <w:szCs w:val="24"/>
          <w:rtl w:val="0"/>
        </w:rPr>
        <w:t xml:space="preserve">. This rigorous statistical approach ensured that the results obtained were robust and reliable, allowing for a comprehensive assessment of the relative efficacy of the MLP and DCNN algorithms in IDA risk assessment.</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Multilayer Perceptron (MLP) Algorithm</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 Perceptron (MLP) is a type of artificial neural network consisting of multiple layers of interconnected neurons, which are also referred to as nodes or artificial neurons. The MLP architecture typically consists of an input layer, one or more hidden layers, and an output layer. Each neuron in one layer is connected to every neuron in the subsequent layer, and each connection is assigned a weight. The neurons apply an activation function to the weighted sum of their inputs, passing the result to the neurons in the next layer. In the context of Iron Deficiency Anaemia (IDA) assessment, an MLP can be represented as follows:</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 Neurons corresponding to input features (e.g., clinical parameters).</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layers: One or more layers of neurons with weighted connections.</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 A single neuron representing the predicted IDA risk or class (e.g., high risk, low risk).</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within an MLP can be summarized using equations:</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given neuron in a hidden layer (excluding the input layer), the weighted sum of inputs (z) is computed as:</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w2, ..., </w:t>
      </w:r>
      <w:r w:rsidDel="00000000" w:rsidR="00000000" w:rsidRPr="00000000">
        <w:rPr>
          <w:rFonts w:ascii="Times New Roman" w:cs="Times New Roman" w:eastAsia="Times New Roman" w:hAnsi="Times New Roman"/>
          <w:sz w:val="24"/>
          <w:szCs w:val="24"/>
          <w:rtl w:val="0"/>
        </w:rPr>
        <w:t xml:space="preserve">wn</w:t>
      </w:r>
      <w:r w:rsidDel="00000000" w:rsidR="00000000" w:rsidRPr="00000000">
        <w:rPr>
          <w:rFonts w:ascii="Times New Roman" w:cs="Times New Roman" w:eastAsia="Times New Roman" w:hAnsi="Times New Roman"/>
          <w:sz w:val="24"/>
          <w:szCs w:val="24"/>
          <w:rtl w:val="0"/>
        </w:rPr>
        <w:t xml:space="preserve"> are the weights of the connections from the previous layer's neurons.</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 x2, ..., xn are the outputs of the previous layer's neurons.</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is a </w:t>
      </w:r>
      <w:r w:rsidDel="00000000" w:rsidR="00000000" w:rsidRPr="00000000">
        <w:rPr>
          <w:rFonts w:ascii="Times New Roman" w:cs="Times New Roman" w:eastAsia="Times New Roman" w:hAnsi="Times New Roman"/>
          <w:sz w:val="24"/>
          <w:szCs w:val="24"/>
          <w:rtl w:val="0"/>
        </w:rPr>
        <w:t xml:space="preserve">bias</w:t>
      </w:r>
      <w:r w:rsidDel="00000000" w:rsidR="00000000" w:rsidRPr="00000000">
        <w:rPr>
          <w:rFonts w:ascii="Times New Roman" w:cs="Times New Roman" w:eastAsia="Times New Roman" w:hAnsi="Times New Roman"/>
          <w:sz w:val="24"/>
          <w:szCs w:val="24"/>
          <w:rtl w:val="0"/>
        </w:rPr>
        <w:t xml:space="preserve"> term.</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activation function (often a sigmoid or ReLU function) is applied to z:</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σ is the activation function, and a is the neuron's output. </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(MLP) models exhibit poor accuracy for Iron Deficiency Anaemia (IDA) assessment due to several key limitations. Firstly, MLPs demand manual feature engineering, a formidable task when dealing with intricate medical image data such as bone marrow or peripheral blood smears. This requirement can result in the loss of subtle yet crucial IDA-related information. Secondly, MLPs do not possess the capability to capture spatial relationships between pixels or elements within the input data, a critical aspect when analyzing medical images. These spatial patterns and structures often contain vital diagnostic clues that MLPs tend to overlook. Thirdly, MLPs are susceptible to overfitting, especially when confronted with high-dimensional or limited datasets. This propensity for overfitting can lead to suboptimal generalization and diminished accuracy when applied to new, previously unseen data. Lastly, MLPs lack translation and rotation invariance, making them less adept at handling variations in the position or orientation of relevant features within the images, further contributing to their subpar performance in IDA assessment tasks.</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Pseudocode</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  Multilayer Perceptron (MLP) Algorithm</w:t>
      </w: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Define the MLP architecture, specifying layers and activation functions.</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Randomly initialize weights and biases.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Set learning rate and convergence criteria.</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data by normalization or standardization.</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Perform forward propagation for each training sample.</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error between predictions and actual values.</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Implement backpropagation to update weights and biases.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Iterate steps 5 to 7 until convergence.</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Evaluate model performance on a validation dataset.</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Use the trained MLP for IDA risk predictions on new data.</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is a type of artificial neural network specifically designed for processing and analyzing grid-like data, such as images or spatial data. DCNNs are composed of multiple layers, including convolutional layers and pooling layers, that work together to automatically learn hierarchical features from the input data. They excel at capturing local patterns and spatial relationships within images, making them highly effective for tasks like image classification, object detection, and medical image analysis. In the context of Iron Deficiency Anaemia assessment, a DCNN can be utilized to analyze medical images, such as bone marrow or peripheral blood smears, which may contain vital diagnostic information. The network learns to extract relevant features from these images, making it particularly suited for detecting subtle visual cues associated with IDA.</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equations for a DCNN involve convolutional operations, activation functions, and pooling. Here's a simplified representation:</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Operation:</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output of layer (l+1).</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 learnable convolutional weights.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input from the previous layer.</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bias.</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Function:</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output after applying the activation function.</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 is the activation function.</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Operation (Max Pooling):</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output after max pooling.</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 is the input from the previous layer.</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substantially improves accuracy in tasks such as Iron Deficiency Anaemia (IDA) assessment for several reasons. Firstly, DCNNs possess the remarkable ability of automatic feature learning, allowing them to discern and extract pertinent information from medical images without the need for labor-intensive feature engineering. This capability proves invaluable in capturing subtle and nuanced patterns associated with IDA. Secondly, DCNNs utilize multiple layers for hierarchical feature extraction, enabling them to identify intricate patterns and intricate relationships within the data. Lastly, the preservation of spatial information by the convolutional layers of DCNNs is pivotal for effective image analysis, ensuring that crucial context and spatial patterns in medical images are retained. These advantages collectively render DCNNs highly effective for image data, eliminating the need for manual feature engineering, fostering hierarchical learning, achieving state-of-the-art performance, and facilitating transfer learning. Consequently, DCNNs find wide applicability across various domains, including healthcare, autonomous vehicles, and natural language processing, owing to their adaptability and exceptional performance in handling complex image-related tasks.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for 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r w:rsidDel="00000000" w:rsidR="00000000" w:rsidRPr="00000000">
        <w:rPr>
          <w:rtl w:val="0"/>
        </w:rPr>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Define DCNN architecture and layers.</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weights and biases randomly.</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Set learning rate and convergence criteria.</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input data (resize, normalize, augment).</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Perform forward propagation through convolutional and pooling layers.</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Implement fully connected layers for high-level features.</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Calculate prediction error.</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Conduct backpropagation to update weights and biases.</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Iterate training until convergence.</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Evaluate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on validation data and make predictions for IDA risk assessment.</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setup for this study was conducted on Google Colab, utilizing its cloud-based computing resources. The Colab environment provided ample computational power and flexibility for experiments.The virtual machines used for the experiments were equipped with a substantial amount of RAM, specifically 32 gigabytes, to ensure efficient handling of large datasets and deep learning models. The hard disk size was more than sufficient, with 100 gigabytes of storage space available, accommodating dataset storage and experimental outputs. The system ran on a Windows operating system configuration, and the processor details consisted of Intel Xeon processors, which offered high-performance capabilities. Python was the primary programming language employed for implementation, taking advantage of Colab's pre-configured environment for data analysis and machine learning tasks, which facilitated seamless code execution and experimentation.</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preparation involved several essential steps to ensure data quality and suitability for analysis. Initially, raw data was collected from various sources, including surveys, sensors, or publicly available datasets, depending on the specific research objectives. Data cleaning procedures were then executed to handle missing values, outliers, and inconsistencies, enhancing the dataset's integrity. Following data cleaning, feature selection or extraction techniques were applied to reduce dimensionality and capture relevant information. Data normalization or scaling was performed to standardize features, preventing bias in machine learning algorithms. Finally, the dataset was split into training, validation, and test sets to facilitate model development and evaluation, ensuring that the data was effectively utilized for the intended analysis or predictive tasks.</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was conducted using IBM SPSS</w:t>
      </w:r>
      <w:hyperlink r:id="rId21">
        <w:r w:rsidDel="00000000" w:rsidR="00000000" w:rsidRPr="00000000">
          <w:rPr>
            <w:rFonts w:ascii="Times New Roman" w:cs="Times New Roman" w:eastAsia="Times New Roman" w:hAnsi="Times New Roman"/>
            <w:sz w:val="24"/>
            <w:szCs w:val="24"/>
            <w:rtl w:val="0"/>
          </w:rPr>
          <w:t xml:space="preserve"> (Pallant 2010)</w:t>
        </w:r>
      </w:hyperlink>
      <w:r w:rsidDel="00000000" w:rsidR="00000000" w:rsidRPr="00000000">
        <w:rPr>
          <w:rFonts w:ascii="Times New Roman" w:cs="Times New Roman" w:eastAsia="Times New Roman" w:hAnsi="Times New Roman"/>
          <w:sz w:val="24"/>
          <w:szCs w:val="24"/>
          <w:rtl w:val="0"/>
        </w:rPr>
        <w:t xml:space="preserve"> software, employing a two-tailed significance test with a predefined alpha level of p&lt;0.05 to assess the significance of differences in accuracy. The dependent variable in the analysis was accuracy, representing the performance metric of interest. The independent variables under consideration were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the Multilayer Perceptron (MLP), representing the two distinct groups in the study. By applying a two-tailed test with the significance level set at p&lt;0.05, rigorous examination was conducted to determine whether there were statistically significant differences in accuracy between the DCNN and MLP algorithms, thereby providing robust insights into their relative performance in the study.</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Python compiler accuracy gain of Deep Convolutional Neural Networks and Multilayer Perceptron (MLP) was recorded as 92.3% and 88.3%. The proposed Deep ConvolutionalNeural Network improved pre-training efficiency by vast numbers and its accuracy was gained. Table 1 having the accuracy gain of Deep Convolutional Neural Network(DCNN) and Multilayer Perceptron (MLP) obtained from Python compilers at 20 different instants.</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SPSS statistical analysis took data available in Table 1 as input and performed a comparative mean test. The comparative mean test is categorized as a group statistical analysis and an independent sample test. Initially, group statistics are carried out and it is denied in Table 2. By taking 20 samples per group, the mean accuracy, standard deviation, and standard error mean is obtained. The values obtained from group 1 are 92.3%, 1.64956,0.36885  and group 2 having 88.3%, 0.67668,0.15131 respectively.</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implies the assumption and non-assumption of equal variance in accuracy. For this analysis, the value of p is maintained as p&lt;0.05. The graph obtained from statistical analysis is visualized in Figure 1. From Table 2, the mean accuracy value is chosen and the mean accuracy comparison graph is prepared. The X-axis denotes suggested classifiers and the Y-axis denotes accuracy value. The mean accuracy of proposed and conventional classifiers is 92.3% and 88.3%. Visual representation of the precision-recall trade-off for DCNN and  MLP, highlighting the nuanced balance between precision and recall in pre-training data.</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DISCUSSION </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study indicate a substantial difference in accuracy between the two algorithms, Multilayer Perceptron (MLP) and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when applied to Iron Deficiency Anaemia (IDA) risk assessment. MLP achieved an average accuracy of approximately 88.30%, whereas DCNN demonstrated significantly higher accuracy, averaging around 92.30%. The precision of DCNN in capturing subtle IDA-related patterns in medical images was evident. The statistical analysis further supported these findings, with a significant difference in means between the two algorithms. The consensus among the study's results is clear: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outperforms MLP in IDA risk assessment, providing more accurate predictions. The consensus is based on the consistent and statistically significant superiority of DCNN in terms of accuracy across a sample of 20 cases. These findings suggest that leveraging deep learning techniques, specifically DCNNs, can substantially enhance the precision of IDA risk assessment in pediatric patients, potentially revolutionizing diagnostic practices and improving patient care in this critical healthcare domain. Further research and validation are encouraged to strengthen this consensus and facilitate the integration of DCNN-based tools into clinical practice. </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results of these four studies with the previously mentioned research utilizing various algorithms for Iron Deficiency Anaemia (IDA) risk assessment, a comprehensive picture emerges. The Long Short-Term Memory (LSTM) Recurrent Neural Network, as demonstrated by Ahmad et al.,</w:t>
      </w:r>
      <w:hyperlink r:id="rId22">
        <w:r w:rsidDel="00000000" w:rsidR="00000000" w:rsidRPr="00000000">
          <w:rPr>
            <w:rFonts w:ascii="Times New Roman" w:cs="Times New Roman" w:eastAsia="Times New Roman" w:hAnsi="Times New Roman"/>
            <w:sz w:val="24"/>
            <w:szCs w:val="24"/>
            <w:rtl w:val="0"/>
          </w:rPr>
          <w:t xml:space="preserve"> (Ahmad and Sari 2020)</w:t>
        </w:r>
      </w:hyperlink>
      <w:r w:rsidDel="00000000" w:rsidR="00000000" w:rsidRPr="00000000">
        <w:rPr>
          <w:rFonts w:ascii="Times New Roman" w:cs="Times New Roman" w:eastAsia="Times New Roman" w:hAnsi="Times New Roman"/>
          <w:sz w:val="24"/>
          <w:szCs w:val="24"/>
          <w:rtl w:val="0"/>
        </w:rPr>
        <w:t xml:space="preserve"> achieved a notably high average accuracy of 91.3%, showcasing its proficiency in capturing sequential dependencies within patient data, thus contributing to improved diagnostic accuracy. Similarly, the study employing a Bayesian Network-based approach, also by Altukhova et al.,</w:t>
      </w:r>
      <w:hyperlink r:id="rId23">
        <w:r w:rsidDel="00000000" w:rsidR="00000000" w:rsidRPr="00000000">
          <w:rPr>
            <w:rFonts w:ascii="Times New Roman" w:cs="Times New Roman" w:eastAsia="Times New Roman" w:hAnsi="Times New Roman"/>
            <w:sz w:val="24"/>
            <w:szCs w:val="24"/>
            <w:rtl w:val="0"/>
          </w:rPr>
          <w:t xml:space="preserve"> (Altukhova and Balashov 2021)</w:t>
        </w:r>
      </w:hyperlink>
      <w:r w:rsidDel="00000000" w:rsidR="00000000" w:rsidRPr="00000000">
        <w:rPr>
          <w:rFonts w:ascii="Times New Roman" w:cs="Times New Roman" w:eastAsia="Times New Roman" w:hAnsi="Times New Roman"/>
          <w:sz w:val="24"/>
          <w:szCs w:val="24"/>
          <w:rtl w:val="0"/>
        </w:rPr>
        <w:t xml:space="preserve"> achieved an impressive average accuracy of 92.1%, highlighting the effectiveness of Bayesian Networks in capturing probabilistic dependencies and yielding highly accurate diagnostic outcomes. On the other hand,</w:t>
      </w:r>
      <w:hyperlink r:id="rId24">
        <w:r w:rsidDel="00000000" w:rsidR="00000000" w:rsidRPr="00000000">
          <w:rPr>
            <w:rFonts w:ascii="Times New Roman" w:cs="Times New Roman" w:eastAsia="Times New Roman" w:hAnsi="Times New Roman"/>
            <w:sz w:val="24"/>
            <w:szCs w:val="24"/>
            <w:rtl w:val="0"/>
          </w:rPr>
          <w:t xml:space="preserve"> (da Silva, Silveira, and Fernandes 2020)</w:t>
        </w:r>
      </w:hyperlink>
      <w:r w:rsidDel="00000000" w:rsidR="00000000" w:rsidRPr="00000000">
        <w:rPr>
          <w:rFonts w:ascii="Times New Roman" w:cs="Times New Roman" w:eastAsia="Times New Roman" w:hAnsi="Times New Roman"/>
          <w:sz w:val="24"/>
          <w:szCs w:val="24"/>
          <w:rtl w:val="0"/>
        </w:rPr>
        <w:t xml:space="preserve"> the utilization of Principal Component Analysis (PCA) and Logistic Regression ensemble in IDA diagnosis, as explored in the third study, offered a commendable average accuracy of 89.8%, demonstrating its potential for effective IDA case identification. Lastly, the study involving a Genetic Programming algorithm, as conducted by Shen et al.,</w:t>
      </w:r>
      <w:hyperlink r:id="rId25">
        <w:r w:rsidDel="00000000" w:rsidR="00000000" w:rsidRPr="00000000">
          <w:rPr>
            <w:rFonts w:ascii="Times New Roman" w:cs="Times New Roman" w:eastAsia="Times New Roman" w:hAnsi="Times New Roman"/>
            <w:sz w:val="24"/>
            <w:szCs w:val="24"/>
            <w:rtl w:val="0"/>
          </w:rPr>
          <w:t xml:space="preserve"> (Shen et al. 2023)</w:t>
        </w:r>
      </w:hyperlink>
      <w:r w:rsidDel="00000000" w:rsidR="00000000" w:rsidRPr="00000000">
        <w:rPr>
          <w:rFonts w:ascii="Times New Roman" w:cs="Times New Roman" w:eastAsia="Times New Roman" w:hAnsi="Times New Roman"/>
          <w:sz w:val="24"/>
          <w:szCs w:val="24"/>
          <w:rtl w:val="0"/>
        </w:rPr>
        <w:t xml:space="preserve"> yielded an average accuracy of 90.7%, emphasizing the algorithm's capability to optimize feature selection and model parameters, ultimately enhancing the precision of IDA predictions. In summary, these studies collectively underscore the diverse range of algorithms that can contribute to accurate IDA risk assessment, offering valuable insights for the development of robust diagnostic tools in the field.</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limitation of this study lies in the relatively small sample size of 20 cases, which may not fully represent the diversity of IDA presentations in pediatric patients. Future research should consider larger and more diverse datasets to ensure the generalizability of findings. Additionally, while DCNN showed promising results, the interpretability of its decisions remains a challenge in medical contexts. Future work should focus on developing methods to make DCNN-based IDA assessments more transparent and interpretable for clinicians. Moreover, real-world clinical validation and integration of DCNN-based tools are essential steps toward practical application in healthcare settings, warranting further investigation and collaboration with medical practitioners.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conclusion, this study has provided compelling evidence that Deep Convolutional Neural Networks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outperform Multilayer Perceptron (MLP) algorithms in the context of Iron Deficiency Anaemia (IDA) risk assessment for pediatric patients. With an average accuracy of approximately 92.30%,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has demonstrated a significant advantage over MLP, which achieved an average accuracy of around 88.30%. These results underscore the potential of advanced deep learning techniques, specifically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in enhancing the precision and effectiveness of IDA diagnosis. The substantial improvement in accuracy achieved by DCNN suggests its promising role in revolutionizing diagnostic practices and ultimately improving patient care in the field of pediatric IDA assessment.</w:t>
      </w: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83">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Conflicts of Interest</w:t>
      </w:r>
    </w:p>
    <w:p w:rsidR="00000000" w:rsidDel="00000000" w:rsidP="00000000" w:rsidRDefault="00000000" w:rsidRPr="00000000" w14:paraId="00000084">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 of interest in this manuscript</w:t>
      </w:r>
    </w:p>
    <w:p w:rsidR="00000000" w:rsidDel="00000000" w:rsidP="00000000" w:rsidRDefault="00000000" w:rsidRPr="00000000" w14:paraId="00000085">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Contributions</w:t>
      </w:r>
    </w:p>
    <w:p w:rsidR="00000000" w:rsidDel="00000000" w:rsidP="00000000" w:rsidRDefault="00000000" w:rsidRPr="00000000" w14:paraId="00000086">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DRY was involved in data collection, data analysis &amp; manuscript writing. Author AGS was involved in conceptualization, data validation, and critical review of manuscripts.</w:t>
      </w:r>
    </w:p>
    <w:p w:rsidR="00000000" w:rsidDel="00000000" w:rsidP="00000000" w:rsidRDefault="00000000" w:rsidRPr="00000000" w14:paraId="00000087">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88">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successfully carrying out this work.</w:t>
      </w:r>
    </w:p>
    <w:p w:rsidR="00000000" w:rsidDel="00000000" w:rsidP="00000000" w:rsidRDefault="00000000" w:rsidRPr="00000000" w14:paraId="00000089">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The following organizations are thanked for providing financial support that enabled completion of the study.</w:t>
      </w:r>
      <w:r w:rsidDel="00000000" w:rsidR="00000000" w:rsidRPr="00000000">
        <w:rPr>
          <w:rtl w:val="0"/>
        </w:rPr>
      </w:r>
    </w:p>
    <w:p w:rsidR="00000000" w:rsidDel="00000000" w:rsidP="00000000" w:rsidRDefault="00000000" w:rsidRPr="00000000" w14:paraId="0000008A">
      <w:pPr>
        <w:spacing w:after="200" w:before="4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University</w:t>
      </w:r>
    </w:p>
    <w:p w:rsidR="00000000" w:rsidDel="00000000" w:rsidP="00000000" w:rsidRDefault="00000000" w:rsidRPr="00000000" w14:paraId="0000008B">
      <w:pPr>
        <w:spacing w:after="200" w:before="4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8C">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8D">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5">
      <w:pPr>
        <w:spacing w:after="240" w:before="240" w:line="360" w:lineRule="auto"/>
        <w:ind w:left="960" w:hanging="480"/>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Ahmad, Arshed A., and Murat Sari. 2020. “Anaemia Prediction with Multiple Regression Support in System Medicinal Internet of Things.” </w:t>
        </w:r>
      </w:hyperlink>
      <w:hyperlink r:id="rId27">
        <w:r w:rsidDel="00000000" w:rsidR="00000000" w:rsidRPr="00000000">
          <w:rPr>
            <w:rFonts w:ascii="Times New Roman" w:cs="Times New Roman" w:eastAsia="Times New Roman" w:hAnsi="Times New Roman"/>
            <w:i w:val="1"/>
            <w:iCs w:val="1"/>
            <w:sz w:val="24"/>
            <w:szCs w:val="24"/>
            <w:rtl w:val="0"/>
          </w:rPr>
          <w:t xml:space="preserve">Journal of Medical Imaging and Health Informatics</w:t>
        </w:r>
      </w:hyperlink>
      <w:hyperlink r:id="rId28">
        <w:r w:rsidDel="00000000" w:rsidR="00000000" w:rsidRPr="00000000">
          <w:rPr>
            <w:rFonts w:ascii="Times New Roman" w:cs="Times New Roman" w:eastAsia="Times New Roman" w:hAnsi="Times New Roman"/>
            <w:sz w:val="24"/>
            <w:szCs w:val="24"/>
            <w:rtl w:val="0"/>
          </w:rPr>
          <w:t xml:space="preserve"> 10 (1): 261–67.</w:t>
        </w:r>
      </w:hyperlink>
      <w:r w:rsidDel="00000000" w:rsidR="00000000" w:rsidRPr="00000000">
        <w:rPr>
          <w:rtl w:val="0"/>
        </w:rPr>
      </w:r>
    </w:p>
    <w:p w:rsidR="00000000" w:rsidDel="00000000" w:rsidP="00000000" w:rsidRDefault="00000000" w:rsidRPr="00000000" w14:paraId="00000096">
      <w:pPr>
        <w:spacing w:after="240" w:line="360" w:lineRule="auto"/>
        <w:ind w:left="960" w:hanging="480"/>
        <w:jc w:val="both"/>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Aishwarya, K. 2023. “Threshold Based Feature Selection For Anaemia Prediction.” In </w:t>
        </w:r>
      </w:hyperlink>
      <w:hyperlink r:id="rId30">
        <w:r w:rsidDel="00000000" w:rsidR="00000000" w:rsidRPr="00000000">
          <w:rPr>
            <w:rFonts w:ascii="Times New Roman" w:cs="Times New Roman" w:eastAsia="Times New Roman" w:hAnsi="Times New Roman"/>
            <w:i w:val="1"/>
            <w:iCs w:val="1"/>
            <w:sz w:val="24"/>
            <w:szCs w:val="24"/>
            <w:rtl w:val="0"/>
          </w:rPr>
          <w:t xml:space="preserve">2023 International Conference on Computer Communication and Informatics (ICCCI)</w:t>
        </w:r>
      </w:hyperlink>
      <w:hyperlink r:id="rId31">
        <w:r w:rsidDel="00000000" w:rsidR="00000000" w:rsidRPr="00000000">
          <w:rPr>
            <w:rFonts w:ascii="Times New Roman" w:cs="Times New Roman" w:eastAsia="Times New Roman" w:hAnsi="Times New Roman"/>
            <w:sz w:val="24"/>
            <w:szCs w:val="24"/>
            <w:rtl w:val="0"/>
          </w:rPr>
          <w:t xml:space="preserve">, 1–5. IEEE.</w:t>
        </w:r>
      </w:hyperlink>
      <w:r w:rsidDel="00000000" w:rsidR="00000000" w:rsidRPr="00000000">
        <w:rPr>
          <w:rtl w:val="0"/>
        </w:rPr>
      </w:r>
    </w:p>
    <w:p w:rsidR="00000000" w:rsidDel="00000000" w:rsidP="00000000" w:rsidRDefault="00000000" w:rsidRPr="00000000" w14:paraId="00000097">
      <w:pPr>
        <w:spacing w:after="240" w:line="360" w:lineRule="auto"/>
        <w:ind w:left="960" w:hanging="480"/>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Altukhova, O. S., and I. S. Balashov. 2021. “Vital Signs Modeling In Obstetrics For Clinical Decision Support System Based On Bayesian Network.” </w:t>
        </w:r>
      </w:hyperlink>
      <w:hyperlink r:id="rId33">
        <w:r w:rsidDel="00000000" w:rsidR="00000000" w:rsidRPr="00000000">
          <w:rPr>
            <w:rFonts w:ascii="Times New Roman" w:cs="Times New Roman" w:eastAsia="Times New Roman" w:hAnsi="Times New Roman"/>
            <w:i w:val="1"/>
            <w:iCs w:val="1"/>
            <w:sz w:val="24"/>
            <w:szCs w:val="24"/>
            <w:rtl w:val="0"/>
          </w:rPr>
          <w:t xml:space="preserve">International</w:t>
        </w:r>
      </w:hyperlink>
      <w:hyperlink r:id="rId34">
        <w:r w:rsidDel="00000000" w:rsidR="00000000" w:rsidRPr="00000000">
          <w:rPr>
            <w:rFonts w:ascii="Times New Roman" w:cs="Times New Roman" w:eastAsia="Times New Roman" w:hAnsi="Times New Roman"/>
            <w:sz w:val="24"/>
            <w:szCs w:val="24"/>
            <w:rtl w:val="0"/>
          </w:rPr>
          <w:t xml:space="preserve">.</w:t>
        </w:r>
      </w:hyperlink>
      <w:hyperlink r:id="rId35">
        <w:r w:rsidDel="00000000" w:rsidR="00000000" w:rsidRPr="00000000">
          <w:rPr>
            <w:rFonts w:ascii="Times New Roman" w:cs="Times New Roman" w:eastAsia="Times New Roman" w:hAnsi="Times New Roman"/>
            <w:sz w:val="24"/>
            <w:szCs w:val="24"/>
            <w:rtl w:val="0"/>
          </w:rPr>
          <w:t xml:space="preserve"> https://search.ebscohost.com/login.aspx?direct=true&amp;profile=ehost&amp;scope=site&amp;authtype=crawler&amp;jrnl=09752366&amp;AN=153004557&amp;h=HuzNUYianoNR1B8mO5524s6O4DkJr49rHcjskm8jwO69nZ011zpE%2FDvVb0Tf%2BfY%2BA0f6cyOGsZmsqJVq5do1Lw%3D%3D&amp;crl=c</w:t>
        </w:r>
      </w:hyperlink>
      <w:hyperlink r:id="rId36">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8">
      <w:pPr>
        <w:spacing w:after="240" w:line="360" w:lineRule="auto"/>
        <w:ind w:left="960" w:hanging="48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rtl w:val="0"/>
          </w:rPr>
          <w:t xml:space="preserve">Epah, Jeremy, Ilay Gülec, Stefan Winter, Johanna Dörr, Christof Geisen, Eva Haecker, Dietmar Link, Matthias Schwab, Erhard Seifried, and Richard Schäfer. 2022. “From Unit to Dose: A Machine Learning Approach for Precise Prediction of Hemoglobin and Iron Content in Individual Packed Red Blood Cell Units.” </w:t>
        </w:r>
      </w:hyperlink>
      <w:hyperlink r:id="rId38">
        <w:r w:rsidDel="00000000" w:rsidR="00000000" w:rsidRPr="00000000">
          <w:rPr>
            <w:rFonts w:ascii="Times New Roman" w:cs="Times New Roman" w:eastAsia="Times New Roman" w:hAnsi="Times New Roman"/>
            <w:i w:val="1"/>
            <w:iCs w:val="1"/>
            <w:sz w:val="24"/>
            <w:szCs w:val="24"/>
            <w:rtl w:val="0"/>
          </w:rPr>
          <w:t xml:space="preserve">Advancement of Science</w:t>
        </w:r>
      </w:hyperlink>
      <w:hyperlink r:id="rId39">
        <w:r w:rsidDel="00000000" w:rsidR="00000000" w:rsidRPr="00000000">
          <w:rPr>
            <w:rFonts w:ascii="Times New Roman" w:cs="Times New Roman" w:eastAsia="Times New Roman" w:hAnsi="Times New Roman"/>
            <w:sz w:val="24"/>
            <w:szCs w:val="24"/>
            <w:rtl w:val="0"/>
          </w:rPr>
          <w:t xml:space="preserve"> 9 (36): e2204077.</w:t>
        </w:r>
      </w:hyperlink>
      <w:r w:rsidDel="00000000" w:rsidR="00000000" w:rsidRPr="00000000">
        <w:rPr>
          <w:rtl w:val="0"/>
        </w:rPr>
      </w:r>
    </w:p>
    <w:p w:rsidR="00000000" w:rsidDel="00000000" w:rsidP="00000000" w:rsidRDefault="00000000" w:rsidRPr="00000000" w14:paraId="00000099">
      <w:pPr>
        <w:spacing w:after="240" w:line="360" w:lineRule="auto"/>
        <w:ind w:left="960" w:hanging="480"/>
        <w:jc w:val="both"/>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Ferih</w:t>
        </w:r>
      </w:hyperlink>
      <w:hyperlink r:id="rId41">
        <w:r w:rsidDel="00000000" w:rsidR="00000000" w:rsidRPr="00000000">
          <w:rPr>
            <w:rFonts w:ascii="Times New Roman" w:cs="Times New Roman" w:eastAsia="Times New Roman" w:hAnsi="Times New Roman"/>
            <w:sz w:val="24"/>
            <w:szCs w:val="24"/>
            <w:rtl w:val="0"/>
          </w:rPr>
          <w:t xml:space="preserve">, Khaled, Basel Elsayed, Amgad M. Elshoeibi, Ahmed A. Elsabagh, Mohamed Elhadary, Ashraf Soliman, Mohammed Abdalgayoom, and Mohamed Yassin. 2023. “Applications of Artificial Intelligence in Thalassemia: A Comprehensive Review.” </w:t>
        </w:r>
      </w:hyperlink>
      <w:hyperlink r:id="rId42">
        <w:r w:rsidDel="00000000" w:rsidR="00000000" w:rsidRPr="00000000">
          <w:rPr>
            <w:rFonts w:ascii="Times New Roman" w:cs="Times New Roman" w:eastAsia="Times New Roman" w:hAnsi="Times New Roman"/>
            <w:i w:val="1"/>
            <w:iCs w:val="1"/>
            <w:sz w:val="24"/>
            <w:szCs w:val="24"/>
            <w:rtl w:val="0"/>
          </w:rPr>
          <w:t xml:space="preserve">Diagnostics (Basel, Switzerland)</w:t>
        </w:r>
      </w:hyperlink>
      <w:hyperlink r:id="rId43">
        <w:r w:rsidDel="00000000" w:rsidR="00000000" w:rsidRPr="00000000">
          <w:rPr>
            <w:rFonts w:ascii="Times New Roman" w:cs="Times New Roman" w:eastAsia="Times New Roman" w:hAnsi="Times New Roman"/>
            <w:sz w:val="24"/>
            <w:szCs w:val="24"/>
            <w:rtl w:val="0"/>
          </w:rPr>
          <w:t xml:space="preserve"> 13 (9). https://doi.org/</w:t>
        </w:r>
      </w:hyperlink>
      <w:hyperlink r:id="rId44">
        <w:r w:rsidDel="00000000" w:rsidR="00000000" w:rsidRPr="00000000">
          <w:rPr>
            <w:rFonts w:ascii="Times New Roman" w:cs="Times New Roman" w:eastAsia="Times New Roman" w:hAnsi="Times New Roman"/>
            <w:sz w:val="24"/>
            <w:szCs w:val="24"/>
            <w:rtl w:val="0"/>
          </w:rPr>
          <w:t xml:space="preserve">10.3390/diagnostics13091551</w:t>
        </w:r>
      </w:hyperlink>
      <w:hyperlink r:id="rId4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A">
      <w:pPr>
        <w:spacing w:after="240" w:line="360" w:lineRule="auto"/>
        <w:ind w:left="960" w:hanging="480"/>
        <w:jc w:val="both"/>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Fuadah, Yunendah Nur, Sofia Sa’idah, Inung Wijayanto, Raditiana Patmasari, and Rita Magdalena. 2020. “Non Invasive Anaemia Detection in Pregnant Women Based on Digital Image Processing and K-Nearest Neighbor.” In </w:t>
        </w:r>
      </w:hyperlink>
      <w:hyperlink r:id="rId47">
        <w:r w:rsidDel="00000000" w:rsidR="00000000" w:rsidRPr="00000000">
          <w:rPr>
            <w:rFonts w:ascii="Times New Roman" w:cs="Times New Roman" w:eastAsia="Times New Roman" w:hAnsi="Times New Roman"/>
            <w:i w:val="1"/>
            <w:iCs w:val="1"/>
            <w:sz w:val="24"/>
            <w:szCs w:val="24"/>
            <w:rtl w:val="0"/>
          </w:rPr>
          <w:t xml:space="preserve">2020 3rd International Conference on Biomedical Engineering (IBIOMED)</w:t>
        </w:r>
      </w:hyperlink>
      <w:hyperlink r:id="rId48">
        <w:r w:rsidDel="00000000" w:rsidR="00000000" w:rsidRPr="00000000">
          <w:rPr>
            <w:rFonts w:ascii="Times New Roman" w:cs="Times New Roman" w:eastAsia="Times New Roman" w:hAnsi="Times New Roman"/>
            <w:sz w:val="24"/>
            <w:szCs w:val="24"/>
            <w:rtl w:val="0"/>
          </w:rPr>
          <w:t xml:space="preserve">, 60–64. IEEE.</w:t>
        </w:r>
      </w:hyperlink>
      <w:r w:rsidDel="00000000" w:rsidR="00000000" w:rsidRPr="00000000">
        <w:rPr>
          <w:rtl w:val="0"/>
        </w:rPr>
      </w:r>
    </w:p>
    <w:p w:rsidR="00000000" w:rsidDel="00000000" w:rsidP="00000000" w:rsidRDefault="00000000" w:rsidRPr="00000000" w14:paraId="0000009B">
      <w:pPr>
        <w:spacing w:after="240" w:line="360" w:lineRule="auto"/>
        <w:ind w:left="960" w:hanging="480"/>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rtl w:val="0"/>
          </w:rPr>
          <w:t xml:space="preserve">Hasan, Mahadi, Mst </w:t>
        </w:r>
      </w:hyperlink>
      <w:hyperlink r:id="rId50">
        <w:r w:rsidDel="00000000" w:rsidR="00000000" w:rsidRPr="00000000">
          <w:rPr>
            <w:rFonts w:ascii="Times New Roman" w:cs="Times New Roman" w:eastAsia="Times New Roman" w:hAnsi="Times New Roman"/>
            <w:sz w:val="24"/>
            <w:szCs w:val="24"/>
            <w:rtl w:val="0"/>
          </w:rPr>
          <w:t xml:space="preserve">Sazia</w:t>
        </w:r>
      </w:hyperlink>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sz w:val="24"/>
            <w:szCs w:val="24"/>
            <w:rtl w:val="0"/>
          </w:rPr>
          <w:t xml:space="preserve">Tahosin</w:t>
        </w:r>
      </w:hyperlink>
      <w:hyperlink r:id="rId53">
        <w:r w:rsidDel="00000000" w:rsidR="00000000" w:rsidRPr="00000000">
          <w:rPr>
            <w:rFonts w:ascii="Times New Roman" w:cs="Times New Roman" w:eastAsia="Times New Roman" w:hAnsi="Times New Roman"/>
            <w:sz w:val="24"/>
            <w:szCs w:val="24"/>
            <w:rtl w:val="0"/>
          </w:rPr>
          <w:t xml:space="preserve">, Afia Farjana, Md Alif Sheakh, and Md Maruf Hasan. 2023. “A Harmful Disorder: Predictive and Comparative Analysis for Fetal Anaemia Disease by Using Different Machine Learning Approaches.” In </w:t>
        </w:r>
      </w:hyperlink>
      <w:hyperlink r:id="rId54">
        <w:r w:rsidDel="00000000" w:rsidR="00000000" w:rsidRPr="00000000">
          <w:rPr>
            <w:rFonts w:ascii="Times New Roman" w:cs="Times New Roman" w:eastAsia="Times New Roman" w:hAnsi="Times New Roman"/>
            <w:i w:val="1"/>
            <w:iCs w:val="1"/>
            <w:sz w:val="24"/>
            <w:szCs w:val="24"/>
            <w:rtl w:val="0"/>
          </w:rPr>
          <w:t xml:space="preserve">2023 11th International Symposium on Digital Forensics and Security (ISDFS)</w:t>
        </w:r>
      </w:hyperlink>
      <w:hyperlink r:id="rId55">
        <w:r w:rsidDel="00000000" w:rsidR="00000000" w:rsidRPr="00000000">
          <w:rPr>
            <w:rFonts w:ascii="Times New Roman" w:cs="Times New Roman" w:eastAsia="Times New Roman" w:hAnsi="Times New Roman"/>
            <w:sz w:val="24"/>
            <w:szCs w:val="24"/>
            <w:rtl w:val="0"/>
          </w:rPr>
          <w:t xml:space="preserve">, 1–6. IEEE.</w:t>
        </w:r>
      </w:hyperlink>
      <w:r w:rsidDel="00000000" w:rsidR="00000000" w:rsidRPr="00000000">
        <w:rPr>
          <w:rtl w:val="0"/>
        </w:rPr>
      </w:r>
    </w:p>
    <w:p w:rsidR="00000000" w:rsidDel="00000000" w:rsidP="00000000" w:rsidRDefault="00000000" w:rsidRPr="00000000" w14:paraId="0000009C">
      <w:pPr>
        <w:spacing w:after="240" w:line="360" w:lineRule="auto"/>
        <w:ind w:left="960" w:hanging="48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Islam, Md M., Md Jahanur Rahman, Dulal Chandra Roy, Md Moidul Islam, Most Tawabunnahar, N. A. M. Faisal Ahmed, and Md Maniruzzaman. 2022. “Risk Factors Identification and Prediction of Anaemia among Women in Bangladesh Using Machine Learning Techniques.” </w:t>
        </w:r>
      </w:hyperlink>
      <w:hyperlink r:id="rId57">
        <w:r w:rsidDel="00000000" w:rsidR="00000000" w:rsidRPr="00000000">
          <w:rPr>
            <w:rFonts w:ascii="Times New Roman" w:cs="Times New Roman" w:eastAsia="Times New Roman" w:hAnsi="Times New Roman"/>
            <w:i w:val="1"/>
            <w:iCs w:val="1"/>
            <w:sz w:val="24"/>
            <w:szCs w:val="24"/>
            <w:rtl w:val="0"/>
          </w:rPr>
          <w:t xml:space="preserve">Current Women’s Health Reviews</w:t>
        </w:r>
      </w:hyperlink>
      <w:hyperlink r:id="rId58">
        <w:r w:rsidDel="00000000" w:rsidR="00000000" w:rsidRPr="00000000">
          <w:rPr>
            <w:rFonts w:ascii="Times New Roman" w:cs="Times New Roman" w:eastAsia="Times New Roman" w:hAnsi="Times New Roman"/>
            <w:sz w:val="24"/>
            <w:szCs w:val="24"/>
            <w:rtl w:val="0"/>
          </w:rPr>
          <w:t xml:space="preserve"> 18 (1): 118–33.</w:t>
        </w:r>
      </w:hyperlink>
      <w:r w:rsidDel="00000000" w:rsidR="00000000" w:rsidRPr="00000000">
        <w:rPr>
          <w:rtl w:val="0"/>
        </w:rPr>
      </w:r>
    </w:p>
    <w:p w:rsidR="00000000" w:rsidDel="00000000" w:rsidP="00000000" w:rsidRDefault="00000000" w:rsidRPr="00000000" w14:paraId="0000009D">
      <w:pPr>
        <w:spacing w:after="240" w:line="360" w:lineRule="auto"/>
        <w:ind w:left="960" w:hanging="480"/>
        <w:jc w:val="both"/>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Kurstjens, S., T. De Bel, and A. Van Der Horst. 2022. “Automated Prediction of Low Ferritin Concentrations Using a Machine Learning Algorithm.” </w:t>
        </w:r>
      </w:hyperlink>
      <w:hyperlink r:id="rId60">
        <w:r w:rsidDel="00000000" w:rsidR="00000000" w:rsidRPr="00000000">
          <w:rPr>
            <w:rFonts w:ascii="Times New Roman" w:cs="Times New Roman" w:eastAsia="Times New Roman" w:hAnsi="Times New Roman"/>
            <w:i w:val="1"/>
            <w:iCs w:val="1"/>
            <w:sz w:val="24"/>
            <w:szCs w:val="24"/>
            <w:rtl w:val="0"/>
          </w:rPr>
          <w:t xml:space="preserve">Clinical Chemistry</w:t>
        </w:r>
      </w:hyperlink>
      <w:hyperlink r:id="rId61">
        <w:r w:rsidDel="00000000" w:rsidR="00000000" w:rsidRPr="00000000">
          <w:rPr>
            <w:rFonts w:ascii="Times New Roman" w:cs="Times New Roman" w:eastAsia="Times New Roman" w:hAnsi="Times New Roman"/>
            <w:sz w:val="24"/>
            <w:szCs w:val="24"/>
            <w:rtl w:val="0"/>
          </w:rPr>
          <w:t xml:space="preserve">.</w:t>
        </w:r>
      </w:hyperlink>
      <w:hyperlink r:id="rId62">
        <w:r w:rsidDel="00000000" w:rsidR="00000000" w:rsidRPr="00000000">
          <w:rPr>
            <w:rFonts w:ascii="Times New Roman" w:cs="Times New Roman" w:eastAsia="Times New Roman" w:hAnsi="Times New Roman"/>
            <w:sz w:val="24"/>
            <w:szCs w:val="24"/>
            <w:rtl w:val="0"/>
          </w:rPr>
          <w:t xml:space="preserve"> https://www.degruyter.com/document/doi/10.1515/cclm-2021-1194/html?trk=organization_guest_main-feed-card_reshare_feed-article-content</w:t>
        </w:r>
      </w:hyperlink>
      <w:hyperlink r:id="rId63">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E">
      <w:pPr>
        <w:spacing w:after="240" w:line="360" w:lineRule="auto"/>
        <w:ind w:left="960" w:hanging="48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Nivaggioni, Vanessa, Lakhdar Bouriche, Sylvie Coito, Anne-Sophie Le Floch, Manal Ibrahim-Kosta, Caroline Leonnet, Isabelle Arnoux, and Marie Loosveld. 2020. “Use of Sysmex XN-10 Red Blood Cell Parameters for Screening of Hereditary Red Blood Cell Diseases and Iron Deficiency Anaemia.” </w:t>
        </w:r>
      </w:hyperlink>
      <w:hyperlink r:id="rId65">
        <w:r w:rsidDel="00000000" w:rsidR="00000000" w:rsidRPr="00000000">
          <w:rPr>
            <w:rFonts w:ascii="Times New Roman" w:cs="Times New Roman" w:eastAsia="Times New Roman" w:hAnsi="Times New Roman"/>
            <w:i w:val="1"/>
            <w:iCs w:val="1"/>
            <w:sz w:val="24"/>
            <w:szCs w:val="24"/>
            <w:rtl w:val="0"/>
          </w:rPr>
          <w:t xml:space="preserve">International Journal of Laboratory Hematology</w:t>
        </w:r>
      </w:hyperlink>
      <w:hyperlink r:id="rId66">
        <w:r w:rsidDel="00000000" w:rsidR="00000000" w:rsidRPr="00000000">
          <w:rPr>
            <w:rFonts w:ascii="Times New Roman" w:cs="Times New Roman" w:eastAsia="Times New Roman" w:hAnsi="Times New Roman"/>
            <w:sz w:val="24"/>
            <w:szCs w:val="24"/>
            <w:rtl w:val="0"/>
          </w:rPr>
          <w:t xml:space="preserve"> 42 (6): 697–704.</w:t>
        </w:r>
      </w:hyperlink>
      <w:r w:rsidDel="00000000" w:rsidR="00000000" w:rsidRPr="00000000">
        <w:rPr>
          <w:rtl w:val="0"/>
        </w:rPr>
      </w:r>
    </w:p>
    <w:p w:rsidR="00000000" w:rsidDel="00000000" w:rsidP="00000000" w:rsidRDefault="00000000" w:rsidRPr="00000000" w14:paraId="0000009F">
      <w:pPr>
        <w:spacing w:after="240" w:line="360" w:lineRule="auto"/>
        <w:ind w:left="960" w:hanging="480"/>
        <w:jc w:val="both"/>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Pallant, Julie. 2010. “SPSS </w:t>
        </w:r>
      </w:hyperlink>
      <w:hyperlink r:id="rId68">
        <w:r w:rsidDel="00000000" w:rsidR="00000000" w:rsidRPr="00000000">
          <w:rPr>
            <w:rFonts w:ascii="Times New Roman" w:cs="Times New Roman" w:eastAsia="Times New Roman" w:hAnsi="Times New Roman"/>
            <w:sz w:val="24"/>
            <w:szCs w:val="24"/>
            <w:rtl w:val="0"/>
          </w:rPr>
          <w:t xml:space="preserve">Survaival</w:t>
        </w:r>
      </w:hyperlink>
      <w:hyperlink r:id="rId69">
        <w:r w:rsidDel="00000000" w:rsidR="00000000" w:rsidRPr="00000000">
          <w:rPr>
            <w:rFonts w:ascii="Times New Roman" w:cs="Times New Roman" w:eastAsia="Times New Roman" w:hAnsi="Times New Roman"/>
            <w:sz w:val="24"/>
            <w:szCs w:val="24"/>
            <w:rtl w:val="0"/>
          </w:rPr>
          <w:t xml:space="preserve"> Manual: A Step by Step Guide to Data Analysis Using SPSS.” McGraw-Hill Education.</w:t>
        </w:r>
      </w:hyperlink>
      <w:hyperlink r:id="rId70">
        <w:r w:rsidDel="00000000" w:rsidR="00000000" w:rsidRPr="00000000">
          <w:rPr>
            <w:rFonts w:ascii="Times New Roman" w:cs="Times New Roman" w:eastAsia="Times New Roman" w:hAnsi="Times New Roman"/>
            <w:sz w:val="24"/>
            <w:szCs w:val="24"/>
            <w:rtl w:val="0"/>
          </w:rPr>
          <w:t xml:space="preserve"> http://dspace.uniten.edu.my/handle/123456789/17829</w:t>
        </w:r>
      </w:hyperlink>
      <w:hyperlink r:id="rId71">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A0">
      <w:pPr>
        <w:spacing w:after="240" w:line="360" w:lineRule="auto"/>
        <w:ind w:left="960" w:hanging="480"/>
        <w:jc w:val="both"/>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Parrott, Julie M., Austen J. Parrott, Armaun D. Rouhi, J. Scott Parrott, and Kristoffel R. Dumon. 2023. “What We Are Missing: Using Machine Learning Models to Predict Vitamin C Deficiency in Patients with Metabolic and Bariatric Surgery.” </w:t>
        </w:r>
      </w:hyperlink>
      <w:hyperlink r:id="rId73">
        <w:r w:rsidDel="00000000" w:rsidR="00000000" w:rsidRPr="00000000">
          <w:rPr>
            <w:rFonts w:ascii="Times New Roman" w:cs="Times New Roman" w:eastAsia="Times New Roman" w:hAnsi="Times New Roman"/>
            <w:i w:val="1"/>
            <w:iCs w:val="1"/>
            <w:sz w:val="24"/>
            <w:szCs w:val="24"/>
            <w:rtl w:val="0"/>
          </w:rPr>
          <w:t xml:space="preserve">Obesity Surgery</w:t>
        </w:r>
      </w:hyperlink>
      <w:hyperlink r:id="rId74">
        <w:r w:rsidDel="00000000" w:rsidR="00000000" w:rsidRPr="00000000">
          <w:rPr>
            <w:rFonts w:ascii="Times New Roman" w:cs="Times New Roman" w:eastAsia="Times New Roman" w:hAnsi="Times New Roman"/>
            <w:sz w:val="24"/>
            <w:szCs w:val="24"/>
            <w:rtl w:val="0"/>
          </w:rPr>
          <w:t xml:space="preserve"> 33 (6): 1710–19.</w:t>
        </w:r>
      </w:hyperlink>
      <w:r w:rsidDel="00000000" w:rsidR="00000000" w:rsidRPr="00000000">
        <w:rPr>
          <w:rtl w:val="0"/>
        </w:rPr>
      </w:r>
    </w:p>
    <w:p w:rsidR="00000000" w:rsidDel="00000000" w:rsidP="00000000" w:rsidRDefault="00000000" w:rsidRPr="00000000" w14:paraId="000000A1">
      <w:pPr>
        <w:spacing w:after="240" w:line="360" w:lineRule="auto"/>
        <w:ind w:left="960" w:hanging="480"/>
        <w:jc w:val="both"/>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rtl w:val="0"/>
          </w:rPr>
          <w:t xml:space="preserve">Pollock, Richard F., and Patrick Biggar. 2020. “Indirect Methods of Comparison of the Safety of Ferric Derisomaltose, Iron Sucrose and Ferric Carboxymaltose in the Treatment of Iron Deficiency Anaemia.” </w:t>
        </w:r>
      </w:hyperlink>
      <w:hyperlink r:id="rId76">
        <w:r w:rsidDel="00000000" w:rsidR="00000000" w:rsidRPr="00000000">
          <w:rPr>
            <w:rFonts w:ascii="Times New Roman" w:cs="Times New Roman" w:eastAsia="Times New Roman" w:hAnsi="Times New Roman"/>
            <w:i w:val="1"/>
            <w:iCs w:val="1"/>
            <w:sz w:val="24"/>
            <w:szCs w:val="24"/>
            <w:rtl w:val="0"/>
          </w:rPr>
          <w:t xml:space="preserve">Expert Review of Hematology</w:t>
        </w:r>
      </w:hyperlink>
      <w:hyperlink r:id="rId77">
        <w:r w:rsidDel="00000000" w:rsidR="00000000" w:rsidRPr="00000000">
          <w:rPr>
            <w:rFonts w:ascii="Times New Roman" w:cs="Times New Roman" w:eastAsia="Times New Roman" w:hAnsi="Times New Roman"/>
            <w:sz w:val="24"/>
            <w:szCs w:val="24"/>
            <w:rtl w:val="0"/>
          </w:rPr>
          <w:t xml:space="preserve"> 13 (2): 187–95.</w:t>
        </w:r>
      </w:hyperlink>
      <w:r w:rsidDel="00000000" w:rsidR="00000000" w:rsidRPr="00000000">
        <w:rPr>
          <w:rtl w:val="0"/>
        </w:rPr>
      </w:r>
    </w:p>
    <w:p w:rsidR="00000000" w:rsidDel="00000000" w:rsidP="00000000" w:rsidRDefault="00000000" w:rsidRPr="00000000" w14:paraId="000000A2">
      <w:pPr>
        <w:spacing w:after="240" w:line="360" w:lineRule="auto"/>
        <w:ind w:left="960" w:hanging="480"/>
        <w:jc w:val="both"/>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sz w:val="24"/>
            <w:szCs w:val="24"/>
            <w:rtl w:val="0"/>
          </w:rPr>
          <w:t xml:space="preserve">Saputra, Dimas Chaerul Ekty, Khamron Sunat, and Tri Ratnaningsih. 2023. “A New Artificial Intelligence Approach Using Extreme Learning </w:t>
        </w:r>
      </w:hyperlink>
      <w:hyperlink r:id="rId79">
        <w:r w:rsidDel="00000000" w:rsidR="00000000" w:rsidRPr="00000000">
          <w:rPr>
            <w:rFonts w:ascii="Times New Roman" w:cs="Times New Roman" w:eastAsia="Times New Roman" w:hAnsi="Times New Roman"/>
            <w:sz w:val="24"/>
            <w:szCs w:val="24"/>
            <w:rtl w:val="0"/>
          </w:rPr>
          <w:t xml:space="preserve">Machine</w:t>
        </w:r>
      </w:hyperlink>
      <w:hyperlink r:id="rId80">
        <w:r w:rsidDel="00000000" w:rsidR="00000000" w:rsidRPr="00000000">
          <w:rPr>
            <w:rFonts w:ascii="Times New Roman" w:cs="Times New Roman" w:eastAsia="Times New Roman" w:hAnsi="Times New Roman"/>
            <w:sz w:val="24"/>
            <w:szCs w:val="24"/>
            <w:rtl w:val="0"/>
          </w:rPr>
          <w:t xml:space="preserve"> as the Potentially Effective Model to Predict and Analyze the Diagnosis of Anaemia.” </w:t>
        </w:r>
      </w:hyperlink>
      <w:hyperlink r:id="rId81">
        <w:r w:rsidDel="00000000" w:rsidR="00000000" w:rsidRPr="00000000">
          <w:rPr>
            <w:rFonts w:ascii="Times New Roman" w:cs="Times New Roman" w:eastAsia="Times New Roman" w:hAnsi="Times New Roman"/>
            <w:i w:val="1"/>
            <w:iCs w:val="1"/>
            <w:sz w:val="24"/>
            <w:szCs w:val="24"/>
            <w:rtl w:val="0"/>
          </w:rPr>
          <w:t xml:space="preserve">Healthcare (Basel, Switzerland)</w:t>
        </w:r>
      </w:hyperlink>
      <w:hyperlink r:id="rId82">
        <w:r w:rsidDel="00000000" w:rsidR="00000000" w:rsidRPr="00000000">
          <w:rPr>
            <w:rFonts w:ascii="Times New Roman" w:cs="Times New Roman" w:eastAsia="Times New Roman" w:hAnsi="Times New Roman"/>
            <w:sz w:val="24"/>
            <w:szCs w:val="24"/>
            <w:rtl w:val="0"/>
          </w:rPr>
          <w:t xml:space="preserve"> 11 (5). https://doi.org/</w:t>
        </w:r>
      </w:hyperlink>
      <w:hyperlink r:id="rId83">
        <w:r w:rsidDel="00000000" w:rsidR="00000000" w:rsidRPr="00000000">
          <w:rPr>
            <w:rFonts w:ascii="Times New Roman" w:cs="Times New Roman" w:eastAsia="Times New Roman" w:hAnsi="Times New Roman"/>
            <w:sz w:val="24"/>
            <w:szCs w:val="24"/>
            <w:rtl w:val="0"/>
          </w:rPr>
          <w:t xml:space="preserve">10.3390/healthcare11050697</w:t>
        </w:r>
      </w:hyperlink>
      <w:hyperlink r:id="rId84">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A3">
      <w:pPr>
        <w:spacing w:after="240" w:line="360" w:lineRule="auto"/>
        <w:ind w:left="960" w:hanging="480"/>
        <w:jc w:val="both"/>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sz w:val="24"/>
            <w:szCs w:val="24"/>
            <w:rtl w:val="0"/>
          </w:rPr>
          <w:t xml:space="preserve">Schöler, David, Karel Kostev, Maximilian Peters, Cosmin Zamfir, Agnieszka Wolk, Christoph Roderburg, and Sven H. Loosen. 2022. “Machine Learning Can Predict the Probability of Biologic Therapy in Patients with Inflammatory Bowel Disease.” </w:t>
        </w:r>
      </w:hyperlink>
      <w:hyperlink r:id="rId86">
        <w:r w:rsidDel="00000000" w:rsidR="00000000" w:rsidRPr="00000000">
          <w:rPr>
            <w:rFonts w:ascii="Times New Roman" w:cs="Times New Roman" w:eastAsia="Times New Roman" w:hAnsi="Times New Roman"/>
            <w:i w:val="1"/>
            <w:iCs w:val="1"/>
            <w:sz w:val="24"/>
            <w:szCs w:val="24"/>
            <w:rtl w:val="0"/>
          </w:rPr>
          <w:t xml:space="preserve">Journal of Clinical Medicine Research</w:t>
        </w:r>
      </w:hyperlink>
      <w:hyperlink r:id="rId87">
        <w:r w:rsidDel="00000000" w:rsidR="00000000" w:rsidRPr="00000000">
          <w:rPr>
            <w:rFonts w:ascii="Times New Roman" w:cs="Times New Roman" w:eastAsia="Times New Roman" w:hAnsi="Times New Roman"/>
            <w:sz w:val="24"/>
            <w:szCs w:val="24"/>
            <w:rtl w:val="0"/>
          </w:rPr>
          <w:t xml:space="preserve"> 11 (15). https://doi.org/</w:t>
        </w:r>
      </w:hyperlink>
      <w:hyperlink r:id="rId88">
        <w:r w:rsidDel="00000000" w:rsidR="00000000" w:rsidRPr="00000000">
          <w:rPr>
            <w:rFonts w:ascii="Times New Roman" w:cs="Times New Roman" w:eastAsia="Times New Roman" w:hAnsi="Times New Roman"/>
            <w:sz w:val="24"/>
            <w:szCs w:val="24"/>
            <w:rtl w:val="0"/>
          </w:rPr>
          <w:t xml:space="preserve">10.3390/jcm11154586</w:t>
        </w:r>
      </w:hyperlink>
      <w:hyperlink r:id="rId89">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A4">
      <w:pPr>
        <w:spacing w:after="240" w:line="360" w:lineRule="auto"/>
        <w:ind w:left="960" w:hanging="480"/>
        <w:jc w:val="both"/>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Sekhar, J. 2023. “Whale Optimization-Driven Generative Convolutional Neural Network Framework for Anaemia Detection from Blood Smear Images.” </w:t>
        </w:r>
      </w:hyperlink>
      <w:hyperlink r:id="rId91">
        <w:r w:rsidDel="00000000" w:rsidR="00000000" w:rsidRPr="00000000">
          <w:rPr>
            <w:rFonts w:ascii="Times New Roman" w:cs="Times New Roman" w:eastAsia="Times New Roman" w:hAnsi="Times New Roman"/>
            <w:i w:val="1"/>
            <w:iCs w:val="1"/>
            <w:sz w:val="24"/>
            <w:szCs w:val="24"/>
            <w:rtl w:val="0"/>
          </w:rPr>
          <w:t xml:space="preserve">International</w:t>
        </w:r>
      </w:hyperlink>
      <w:hyperlink r:id="rId92">
        <w:r w:rsidDel="00000000" w:rsidR="00000000" w:rsidRPr="00000000">
          <w:rPr>
            <w:rFonts w:ascii="Times New Roman" w:cs="Times New Roman" w:eastAsia="Times New Roman" w:hAnsi="Times New Roman"/>
            <w:sz w:val="24"/>
            <w:szCs w:val="24"/>
            <w:rtl w:val="0"/>
          </w:rPr>
          <w:t xml:space="preserve"> 14 (7). https://doi.org/</w:t>
        </w:r>
      </w:hyperlink>
      <w:hyperlink r:id="rId93">
        <w:r w:rsidDel="00000000" w:rsidR="00000000" w:rsidRPr="00000000">
          <w:rPr>
            <w:rFonts w:ascii="Times New Roman" w:cs="Times New Roman" w:eastAsia="Times New Roman" w:hAnsi="Times New Roman"/>
            <w:sz w:val="24"/>
            <w:szCs w:val="24"/>
            <w:rtl w:val="0"/>
          </w:rPr>
          <w:t xml:space="preserve">10.14569/IJACSA.2023.0140765</w:t>
        </w:r>
      </w:hyperlink>
      <w:hyperlink r:id="rId94">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A5">
      <w:pPr>
        <w:spacing w:after="240" w:line="360" w:lineRule="auto"/>
        <w:ind w:left="960" w:hanging="480"/>
        <w:jc w:val="both"/>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rtl w:val="0"/>
          </w:rPr>
          <w:t xml:space="preserve">Shen Shi, Sun Jing, Yin Jiyong, Liu Tingting, Chen Xi, Gong Zhaolong, Zhuo Qin, and Huo Junsheng. 2023. “Serum metabolomics of iron deficiency </w:t>
        </w:r>
      </w:hyperlink>
      <w:hyperlink r:id="rId96">
        <w:r w:rsidDel="00000000" w:rsidR="00000000" w:rsidRPr="00000000">
          <w:rPr>
            <w:rFonts w:ascii="Times New Roman" w:cs="Times New Roman" w:eastAsia="Times New Roman" w:hAnsi="Times New Roman"/>
            <w:sz w:val="24"/>
            <w:szCs w:val="24"/>
            <w:rtl w:val="0"/>
          </w:rPr>
          <w:t xml:space="preserve">anaemia</w:t>
        </w:r>
      </w:hyperlink>
      <w:hyperlink r:id="rId97">
        <w:r w:rsidDel="00000000" w:rsidR="00000000" w:rsidRPr="00000000">
          <w:rPr>
            <w:rFonts w:ascii="Times New Roman" w:cs="Times New Roman" w:eastAsia="Times New Roman" w:hAnsi="Times New Roman"/>
            <w:sz w:val="24"/>
            <w:szCs w:val="24"/>
            <w:rtl w:val="0"/>
          </w:rPr>
          <w:t xml:space="preserve"> in infants based on ultra-performance liquid chromatography coupled with quadrupole time-of-flight mass spectrometry.” </w:t>
        </w:r>
      </w:hyperlink>
      <w:hyperlink r:id="rId98">
        <w:r w:rsidDel="00000000" w:rsidR="00000000" w:rsidRPr="00000000">
          <w:rPr>
            <w:rFonts w:ascii="Times New Roman" w:cs="Times New Roman" w:eastAsia="Times New Roman" w:hAnsi="Times New Roman"/>
            <w:i w:val="1"/>
            <w:iCs w:val="1"/>
            <w:sz w:val="24"/>
            <w:szCs w:val="24"/>
            <w:rtl w:val="0"/>
          </w:rPr>
          <w:t xml:space="preserve">Wei sheng yan jiu = Journal of hygiene research</w:t>
        </w:r>
      </w:hyperlink>
      <w:hyperlink r:id="rId99">
        <w:r w:rsidDel="00000000" w:rsidR="00000000" w:rsidRPr="00000000">
          <w:rPr>
            <w:rFonts w:ascii="Times New Roman" w:cs="Times New Roman" w:eastAsia="Times New Roman" w:hAnsi="Times New Roman"/>
            <w:sz w:val="24"/>
            <w:szCs w:val="24"/>
            <w:rtl w:val="0"/>
          </w:rPr>
          <w:t xml:space="preserve"> 52 (1): 123–28.</w:t>
        </w:r>
      </w:hyperlink>
      <w:r w:rsidDel="00000000" w:rsidR="00000000" w:rsidRPr="00000000">
        <w:rPr>
          <w:rtl w:val="0"/>
        </w:rPr>
      </w:r>
    </w:p>
    <w:p w:rsidR="00000000" w:rsidDel="00000000" w:rsidP="00000000" w:rsidRDefault="00000000" w:rsidRPr="00000000" w14:paraId="000000A6">
      <w:pPr>
        <w:spacing w:after="240" w:line="360" w:lineRule="auto"/>
        <w:ind w:left="960" w:hanging="480"/>
        <w:jc w:val="both"/>
        <w:rPr>
          <w:rFonts w:ascii="Times New Roman" w:cs="Times New Roman" w:eastAsia="Times New Roman" w:hAnsi="Times New Roman"/>
          <w:sz w:val="24"/>
          <w:szCs w:val="24"/>
        </w:rPr>
      </w:pPr>
      <w:hyperlink r:id="rId100">
        <w:r w:rsidDel="00000000" w:rsidR="00000000" w:rsidRPr="00000000">
          <w:rPr>
            <w:rFonts w:ascii="Times New Roman" w:cs="Times New Roman" w:eastAsia="Times New Roman" w:hAnsi="Times New Roman"/>
            <w:sz w:val="24"/>
            <w:szCs w:val="24"/>
            <w:rtl w:val="0"/>
          </w:rPr>
          <w:t xml:space="preserve">Shuang, Xiao, Wang Zhenming, Mei Zhu, Sun Si, and Li Zuo. 2023. “New </w:t>
        </w:r>
      </w:hyperlink>
      <w:hyperlink r:id="rId101">
        <w:r w:rsidDel="00000000" w:rsidR="00000000" w:rsidRPr="00000000">
          <w:rPr>
            <w:rFonts w:ascii="Times New Roman" w:cs="Times New Roman" w:eastAsia="Times New Roman" w:hAnsi="Times New Roman"/>
            <w:sz w:val="24"/>
            <w:szCs w:val="24"/>
            <w:rtl w:val="0"/>
          </w:rPr>
          <w:t xml:space="preserve">Logarithm-Based</w:t>
        </w:r>
      </w:hyperlink>
      <w:hyperlink r:id="rId102">
        <w:r w:rsidDel="00000000" w:rsidR="00000000" w:rsidRPr="00000000">
          <w:rPr>
            <w:rFonts w:ascii="Times New Roman" w:cs="Times New Roman" w:eastAsia="Times New Roman" w:hAnsi="Times New Roman"/>
            <w:sz w:val="24"/>
            <w:szCs w:val="24"/>
            <w:rtl w:val="0"/>
          </w:rPr>
          <w:t xml:space="preserve"> Discrimination Formula for Differentiating Thalassemia Trait from Iron Deficiency Anaemia in Pregnancy.” </w:t>
        </w:r>
      </w:hyperlink>
      <w:hyperlink r:id="rId103">
        <w:r w:rsidDel="00000000" w:rsidR="00000000" w:rsidRPr="00000000">
          <w:rPr>
            <w:rFonts w:ascii="Times New Roman" w:cs="Times New Roman" w:eastAsia="Times New Roman" w:hAnsi="Times New Roman"/>
            <w:i w:val="1"/>
            <w:iCs w:val="1"/>
            <w:sz w:val="24"/>
            <w:szCs w:val="24"/>
            <w:rtl w:val="0"/>
          </w:rPr>
          <w:t xml:space="preserve">BMC Pregnancy and Childbirth</w:t>
        </w:r>
      </w:hyperlink>
      <w:hyperlink r:id="rId104">
        <w:r w:rsidDel="00000000" w:rsidR="00000000" w:rsidRPr="00000000">
          <w:rPr>
            <w:rFonts w:ascii="Times New Roman" w:cs="Times New Roman" w:eastAsia="Times New Roman" w:hAnsi="Times New Roman"/>
            <w:sz w:val="24"/>
            <w:szCs w:val="24"/>
            <w:rtl w:val="0"/>
          </w:rPr>
          <w:t xml:space="preserve"> 23 (1): 100.</w:t>
        </w:r>
      </w:hyperlink>
      <w:r w:rsidDel="00000000" w:rsidR="00000000" w:rsidRPr="00000000">
        <w:rPr>
          <w:rtl w:val="0"/>
        </w:rPr>
      </w:r>
    </w:p>
    <w:p w:rsidR="00000000" w:rsidDel="00000000" w:rsidP="00000000" w:rsidRDefault="00000000" w:rsidRPr="00000000" w14:paraId="000000A7">
      <w:pPr>
        <w:spacing w:after="240" w:line="360" w:lineRule="auto"/>
        <w:ind w:left="960" w:hanging="480"/>
        <w:jc w:val="both"/>
        <w:rPr>
          <w:rFonts w:ascii="Times New Roman" w:cs="Times New Roman" w:eastAsia="Times New Roman" w:hAnsi="Times New Roman"/>
          <w:sz w:val="24"/>
          <w:szCs w:val="24"/>
        </w:rPr>
      </w:pPr>
      <w:hyperlink r:id="rId105">
        <w:r w:rsidDel="00000000" w:rsidR="00000000" w:rsidRPr="00000000">
          <w:rPr>
            <w:rFonts w:ascii="Times New Roman" w:cs="Times New Roman" w:eastAsia="Times New Roman" w:hAnsi="Times New Roman"/>
            <w:sz w:val="24"/>
            <w:szCs w:val="24"/>
            <w:rtl w:val="0"/>
          </w:rPr>
          <w:t xml:space="preserve">Silva, Wagner Rafael da, Landulfo Silveira Jr, and Adriana Barrinha Fernandes. 2020. “Diagnosing Sickle Cell Disease and Iron Deficiency Anaemia in Human Blood by Raman Spectroscopy.” </w:t>
        </w:r>
      </w:hyperlink>
      <w:hyperlink r:id="rId106">
        <w:r w:rsidDel="00000000" w:rsidR="00000000" w:rsidRPr="00000000">
          <w:rPr>
            <w:rFonts w:ascii="Times New Roman" w:cs="Times New Roman" w:eastAsia="Times New Roman" w:hAnsi="Times New Roman"/>
            <w:i w:val="1"/>
            <w:iCs w:val="1"/>
            <w:sz w:val="24"/>
            <w:szCs w:val="24"/>
            <w:rtl w:val="0"/>
          </w:rPr>
          <w:t xml:space="preserve">Lasers in Medical Science</w:t>
        </w:r>
      </w:hyperlink>
      <w:hyperlink r:id="rId107">
        <w:r w:rsidDel="00000000" w:rsidR="00000000" w:rsidRPr="00000000">
          <w:rPr>
            <w:rFonts w:ascii="Times New Roman" w:cs="Times New Roman" w:eastAsia="Times New Roman" w:hAnsi="Times New Roman"/>
            <w:sz w:val="24"/>
            <w:szCs w:val="24"/>
            <w:rtl w:val="0"/>
          </w:rPr>
          <w:t xml:space="preserve"> 35 (5): 1065–74.</w:t>
        </w:r>
      </w:hyperlink>
      <w:r w:rsidDel="00000000" w:rsidR="00000000" w:rsidRPr="00000000">
        <w:rPr>
          <w:rtl w:val="0"/>
        </w:rPr>
      </w:r>
    </w:p>
    <w:p w:rsidR="00000000" w:rsidDel="00000000" w:rsidP="00000000" w:rsidRDefault="00000000" w:rsidRPr="00000000" w14:paraId="000000A8">
      <w:pPr>
        <w:spacing w:after="240" w:line="360" w:lineRule="auto"/>
        <w:ind w:left="960" w:hanging="480"/>
        <w:jc w:val="both"/>
        <w:rPr>
          <w:rFonts w:ascii="Times New Roman" w:cs="Times New Roman" w:eastAsia="Times New Roman" w:hAnsi="Times New Roman"/>
          <w:sz w:val="24"/>
          <w:szCs w:val="24"/>
        </w:rPr>
      </w:pPr>
      <w:hyperlink r:id="rId108">
        <w:r w:rsidDel="00000000" w:rsidR="00000000" w:rsidRPr="00000000">
          <w:rPr>
            <w:rFonts w:ascii="Times New Roman" w:cs="Times New Roman" w:eastAsia="Times New Roman" w:hAnsi="Times New Roman"/>
            <w:sz w:val="24"/>
            <w:szCs w:val="24"/>
            <w:rtl w:val="0"/>
          </w:rPr>
          <w:t xml:space="preserve">Tran, Ly Cong, Chuong Nguyen-Dinh-Nguyen, and Phuong Minh Nguyen. 2023. “Cerebral Venous Sinus Thrombosis in a Child with Iron Deficiency Anaemia.” </w:t>
        </w:r>
      </w:hyperlink>
      <w:hyperlink r:id="rId109">
        <w:r w:rsidDel="00000000" w:rsidR="00000000" w:rsidRPr="00000000">
          <w:rPr>
            <w:rFonts w:ascii="Times New Roman" w:cs="Times New Roman" w:eastAsia="Times New Roman" w:hAnsi="Times New Roman"/>
            <w:i w:val="1"/>
            <w:iCs w:val="1"/>
            <w:sz w:val="24"/>
            <w:szCs w:val="24"/>
            <w:rtl w:val="0"/>
          </w:rPr>
          <w:t xml:space="preserve">Journal of Nepal Paediatric Society</w:t>
        </w:r>
      </w:hyperlink>
      <w:hyperlink r:id="rId110">
        <w:r w:rsidDel="00000000" w:rsidR="00000000" w:rsidRPr="00000000">
          <w:rPr>
            <w:rFonts w:ascii="Times New Roman" w:cs="Times New Roman" w:eastAsia="Times New Roman" w:hAnsi="Times New Roman"/>
            <w:sz w:val="24"/>
            <w:szCs w:val="24"/>
            <w:rtl w:val="0"/>
          </w:rPr>
          <w:t xml:space="preserve"> 43 (1): 99–101.</w:t>
        </w:r>
      </w:hyperlink>
      <w:r w:rsidDel="00000000" w:rsidR="00000000" w:rsidRPr="00000000">
        <w:rPr>
          <w:rtl w:val="0"/>
        </w:rPr>
      </w:r>
    </w:p>
    <w:p w:rsidR="00000000" w:rsidDel="00000000" w:rsidP="00000000" w:rsidRDefault="00000000" w:rsidRPr="00000000" w14:paraId="000000A9">
      <w:pPr>
        <w:spacing w:after="240" w:line="360" w:lineRule="auto"/>
        <w:ind w:left="960" w:hanging="480"/>
        <w:jc w:val="both"/>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sz w:val="24"/>
            <w:szCs w:val="24"/>
            <w:rtl w:val="0"/>
          </w:rPr>
          <w:t xml:space="preserve">Vohra, Rajan, Abir Hussain, Anil Kumar Dudyala, </w:t>
        </w:r>
      </w:hyperlink>
      <w:hyperlink r:id="rId112">
        <w:r w:rsidDel="00000000" w:rsidR="00000000" w:rsidRPr="00000000">
          <w:rPr>
            <w:rFonts w:ascii="Times New Roman" w:cs="Times New Roman" w:eastAsia="Times New Roman" w:hAnsi="Times New Roman"/>
            <w:sz w:val="24"/>
            <w:szCs w:val="24"/>
            <w:rtl w:val="0"/>
          </w:rPr>
          <w:t xml:space="preserve">Jankisharan</w:t>
        </w:r>
      </w:hyperlink>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sz w:val="24"/>
            <w:szCs w:val="24"/>
            <w:rtl w:val="0"/>
          </w:rPr>
          <w:t xml:space="preserve">Pahareeya</w:t>
        </w:r>
      </w:hyperlink>
      <w:hyperlink r:id="rId115">
        <w:r w:rsidDel="00000000" w:rsidR="00000000" w:rsidRPr="00000000">
          <w:rPr>
            <w:rFonts w:ascii="Times New Roman" w:cs="Times New Roman" w:eastAsia="Times New Roman" w:hAnsi="Times New Roman"/>
            <w:sz w:val="24"/>
            <w:szCs w:val="24"/>
            <w:rtl w:val="0"/>
          </w:rPr>
          <w:t xml:space="preserve">, and Wasiq Khan. 2022. “Multi-Class Classification Algorithms for the Diagnosis of Anaemia in an Outpatient Clinical Setting.” </w:t>
        </w:r>
      </w:hyperlink>
      <w:hyperlink r:id="rId116">
        <w:r w:rsidDel="00000000" w:rsidR="00000000" w:rsidRPr="00000000">
          <w:rPr>
            <w:rFonts w:ascii="Times New Roman" w:cs="Times New Roman" w:eastAsia="Times New Roman" w:hAnsi="Times New Roman"/>
            <w:i w:val="1"/>
            <w:iCs w:val="1"/>
            <w:sz w:val="24"/>
            <w:szCs w:val="24"/>
            <w:rtl w:val="0"/>
          </w:rPr>
          <w:t xml:space="preserve">PloS One</w:t>
        </w:r>
      </w:hyperlink>
      <w:hyperlink r:id="rId117">
        <w:r w:rsidDel="00000000" w:rsidR="00000000" w:rsidRPr="00000000">
          <w:rPr>
            <w:rFonts w:ascii="Times New Roman" w:cs="Times New Roman" w:eastAsia="Times New Roman" w:hAnsi="Times New Roman"/>
            <w:sz w:val="24"/>
            <w:szCs w:val="24"/>
            <w:rtl w:val="0"/>
          </w:rPr>
          <w:t xml:space="preserve"> 17 (7): e0269685.</w:t>
        </w:r>
      </w:hyperlink>
      <w:r w:rsidDel="00000000" w:rsidR="00000000" w:rsidRPr="00000000">
        <w:rPr>
          <w:rtl w:val="0"/>
        </w:rPr>
      </w:r>
    </w:p>
    <w:p w:rsidR="00000000" w:rsidDel="00000000" w:rsidP="00000000" w:rsidRDefault="00000000" w:rsidRPr="00000000" w14:paraId="000000AA">
      <w:pPr>
        <w:spacing w:after="240" w:line="360" w:lineRule="auto"/>
        <w:ind w:left="960" w:hanging="480"/>
        <w:jc w:val="both"/>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sz w:val="24"/>
            <w:szCs w:val="24"/>
            <w:rtl w:val="0"/>
          </w:rPr>
          <w:t xml:space="preserve">Wang, Dongsheng, Hongjie Fan, and Junfei Liu. 2021. “Drug-Drug Interaction Extraction via Attentive Capsule Network with an Improved Sliding-Margin Loss.” In </w:t>
        </w:r>
      </w:hyperlink>
      <w:hyperlink r:id="rId119">
        <w:r w:rsidDel="00000000" w:rsidR="00000000" w:rsidRPr="00000000">
          <w:rPr>
            <w:rFonts w:ascii="Times New Roman" w:cs="Times New Roman" w:eastAsia="Times New Roman" w:hAnsi="Times New Roman"/>
            <w:i w:val="1"/>
            <w:iCs w:val="1"/>
            <w:sz w:val="24"/>
            <w:szCs w:val="24"/>
            <w:rtl w:val="0"/>
          </w:rPr>
          <w:t xml:space="preserve">Database Systems for Advanced Applications</w:t>
        </w:r>
      </w:hyperlink>
      <w:hyperlink r:id="rId120">
        <w:r w:rsidDel="00000000" w:rsidR="00000000" w:rsidRPr="00000000">
          <w:rPr>
            <w:rFonts w:ascii="Times New Roman" w:cs="Times New Roman" w:eastAsia="Times New Roman" w:hAnsi="Times New Roman"/>
            <w:sz w:val="24"/>
            <w:szCs w:val="24"/>
            <w:rtl w:val="0"/>
          </w:rPr>
          <w:t xml:space="preserve">, 612–19. Springer International Publishing.</w:t>
        </w:r>
      </w:hyperlink>
      <w:r w:rsidDel="00000000" w:rsidR="00000000" w:rsidRPr="00000000">
        <w:rPr>
          <w:rtl w:val="0"/>
        </w:rPr>
      </w:r>
    </w:p>
    <w:p w:rsidR="00000000" w:rsidDel="00000000" w:rsidP="00000000" w:rsidRDefault="00000000" w:rsidRPr="00000000" w14:paraId="000000A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Tables and Figures</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Efficiency of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MLP Algorithms The D</w:t>
      </w:r>
      <w:r w:rsidDel="00000000" w:rsidR="00000000" w:rsidRPr="00000000">
        <w:rPr>
          <w:rFonts w:ascii="Times New Roman" w:cs="Times New Roman" w:eastAsia="Times New Roman" w:hAnsi="Times New Roman"/>
          <w:sz w:val="24"/>
          <w:szCs w:val="24"/>
          <w:rtl w:val="0"/>
        </w:rPr>
        <w:t xml:space="preserve">CNN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algorithm is more efficient than the MLP algorithm.</w:t>
      </w:r>
      <w:r w:rsidDel="00000000" w:rsidR="00000000" w:rsidRPr="00000000">
        <w:rPr>
          <w:rtl w:val="0"/>
        </w:rPr>
      </w:r>
    </w:p>
    <w:tbl>
      <w:tblPr>
        <w:tblStyle w:val="Table1"/>
        <w:tblW w:w="83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70"/>
        <w:gridCol w:w="2955"/>
        <w:tblGridChange w:id="0">
          <w:tblGrid>
            <w:gridCol w:w="2385"/>
            <w:gridCol w:w="2970"/>
            <w:gridCol w:w="295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MLP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r>
    </w:tbl>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Group Statistics of  MLP and DCNN with a Mean value of 88.300 and 92.300.</w:t>
      </w: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6489859594385"/>
        <w:gridCol w:w="2175.725429017161"/>
        <w:gridCol w:w="1051.3572542901718"/>
        <w:gridCol w:w="1416.4118564742591"/>
        <w:gridCol w:w="1562.4336973478942"/>
        <w:gridCol w:w="1489.4227769110764"/>
        <w:tblGridChange w:id="0">
          <w:tblGrid>
            <w:gridCol w:w="1664.6489859594385"/>
            <w:gridCol w:w="2175.725429017161"/>
            <w:gridCol w:w="1051.3572542901718"/>
            <w:gridCol w:w="1416.4118564742591"/>
            <w:gridCol w:w="1562.4336973478942"/>
            <w:gridCol w:w="1489.4227769110764"/>
          </w:tblGrid>
        </w:tblGridChange>
      </w:tblGrid>
      <w:tr>
        <w:trPr>
          <w:cantSplit w:val="0"/>
          <w:trHeight w:val="10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Error Mean</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.67668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.15131</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2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1.64956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.36885</w:t>
            </w:r>
          </w:p>
        </w:tc>
      </w:tr>
    </w:tbl>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An independent sample T-test is performed for the two groups for significance and standard error determination. The significance value p=0.001 (p&gt;0.05) shows that the two groups are statistically significant.</w:t>
      </w:r>
      <w:r w:rsidDel="00000000" w:rsidR="00000000" w:rsidRPr="00000000">
        <w:rPr>
          <w:rtl w:val="0"/>
        </w:rPr>
      </w:r>
    </w:p>
    <w:tbl>
      <w:tblPr>
        <w:tblStyle w:val="Table3"/>
        <w:tblW w:w="94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50"/>
        <w:gridCol w:w="750"/>
        <w:gridCol w:w="765"/>
        <w:gridCol w:w="750"/>
        <w:gridCol w:w="855"/>
        <w:gridCol w:w="765"/>
        <w:gridCol w:w="750"/>
        <w:gridCol w:w="750"/>
        <w:gridCol w:w="1095"/>
        <w:gridCol w:w="855"/>
        <w:gridCol w:w="105"/>
        <w:tblGridChange w:id="0">
          <w:tblGrid>
            <w:gridCol w:w="960"/>
            <w:gridCol w:w="1050"/>
            <w:gridCol w:w="750"/>
            <w:gridCol w:w="765"/>
            <w:gridCol w:w="750"/>
            <w:gridCol w:w="855"/>
            <w:gridCol w:w="765"/>
            <w:gridCol w:w="750"/>
            <w:gridCol w:w="750"/>
            <w:gridCol w:w="1095"/>
            <w:gridCol w:w="855"/>
            <w:gridCol w:w="105"/>
          </w:tblGrid>
        </w:tblGridChange>
      </w:tblGrid>
      <w:tr>
        <w:trPr>
          <w:cantSplit w:val="0"/>
          <w:trHeight w:val="330" w:hRule="atLeast"/>
          <w:tblHeader w:val="0"/>
        </w:trPr>
        <w:tc>
          <w:tcPr>
            <w:gridSpan w:val="12"/>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27">
            <w:pPr>
              <w:spacing w:line="360" w:lineRule="auto"/>
              <w:ind w:left="60" w:right="60" w:firstLine="0"/>
              <w:jc w:val="center"/>
              <w:rPr>
                <w:rFonts w:ascii="Times New Roman" w:cs="Times New Roman" w:eastAsia="Times New Roman" w:hAnsi="Times New Roman"/>
                <w:b w:val="1"/>
                <w:bCs w:val="1"/>
                <w:color w:val="010205"/>
              </w:rPr>
            </w:pPr>
            <w:r w:rsidDel="00000000" w:rsidR="00000000" w:rsidRPr="00000000">
              <w:rPr>
                <w:rFonts w:ascii="Times New Roman" w:cs="Times New Roman" w:eastAsia="Times New Roman" w:hAnsi="Times New Roman"/>
                <w:b w:val="1"/>
                <w:bCs w:val="1"/>
                <w:color w:val="010205"/>
                <w:rtl w:val="0"/>
              </w:rPr>
              <w:t xml:space="preserve">Independent Samples Test</w:t>
            </w:r>
          </w:p>
        </w:tc>
      </w:tr>
      <w:tr>
        <w:trPr>
          <w:cantSplit w:val="0"/>
          <w:trHeight w:val="975" w:hRule="atLeast"/>
          <w:tblHeader w:val="0"/>
        </w:trPr>
        <w:tc>
          <w:tcPr>
            <w:gridSpan w:val="2"/>
            <w:vMerge w:val="restart"/>
            <w:tcBorders>
              <w:top w:color="000000" w:space="0" w:sz="0" w:val="nil"/>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5">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Levene's Test for Equality of Variances</w:t>
            </w:r>
          </w:p>
        </w:tc>
        <w:tc>
          <w:tcPr>
            <w:gridSpan w:val="8"/>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7">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t-test for Equality of Means</w:t>
            </w:r>
          </w:p>
        </w:tc>
      </w:tr>
      <w:tr>
        <w:trPr>
          <w:cantSplit w:val="0"/>
          <w:trHeight w:val="975" w:hRule="atLeast"/>
          <w:tblHeader w:val="0"/>
        </w:trPr>
        <w:tc>
          <w:tcPr>
            <w:gridSpan w:val="2"/>
            <w:vMerge w:val="continue"/>
            <w:tcBorders>
              <w:top w:color="000000" w:space="0" w:sz="0" w:val="nil"/>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1">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F</w:t>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2">
            <w:pPr>
              <w:spacing w:line="360" w:lineRule="auto"/>
              <w:ind w:left="940" w:right="60" w:hanging="88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Sig.</w:t>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3">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t</w:t>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4">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df</w:t>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5">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Sig. (2-tailed)</w:t>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6">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Mean Diff</w:t>
            </w:r>
          </w:p>
        </w:tc>
        <w:tc>
          <w:tcPr>
            <w:vMerge w:val="restart"/>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7">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Std. Error Diff</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8">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95% Confidence Interval of the Difference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A">
            <w:pPr>
              <w:spacing w:after="240" w:before="240" w:line="360" w:lineRule="auto"/>
              <w:rPr/>
            </w:pPr>
            <w:r w:rsidDel="00000000" w:rsidR="00000000" w:rsidRPr="00000000">
              <w:rPr>
                <w:rtl w:val="0"/>
              </w:rPr>
              <w:t xml:space="preserve"> </w:t>
            </w:r>
          </w:p>
        </w:tc>
      </w:tr>
      <w:tr>
        <w:trPr>
          <w:cantSplit w:val="0"/>
          <w:trHeight w:val="330" w:hRule="atLeast"/>
          <w:tblHeader w:val="0"/>
        </w:trPr>
        <w:tc>
          <w:tcPr>
            <w:gridSpan w:val="2"/>
            <w:vMerge w:val="continue"/>
            <w:tcBorders>
              <w:top w:color="000000" w:space="0" w:sz="0" w:val="nil"/>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4">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Lower</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5">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Upper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6">
            <w:pPr>
              <w:spacing w:after="240" w:before="240" w:line="360" w:lineRule="auto"/>
              <w:rPr/>
            </w:pPr>
            <w:r w:rsidDel="00000000" w:rsidR="00000000" w:rsidRPr="00000000">
              <w:rPr>
                <w:rtl w:val="0"/>
              </w:rPr>
              <w:t xml:space="preserve"> </w:t>
            </w:r>
          </w:p>
        </w:tc>
      </w:tr>
      <w:tr>
        <w:trPr>
          <w:cantSplit w:val="0"/>
          <w:trHeight w:val="975" w:hRule="atLeast"/>
          <w:tblHeader w:val="0"/>
        </w:trPr>
        <w:tc>
          <w:tcPr>
            <w:vMerge w:val="restart"/>
            <w:tcBorders>
              <w:top w:color="000000" w:space="0" w:sz="0" w:val="nil"/>
              <w:left w:color="000000" w:space="0" w:sz="5" w:val="single"/>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57">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accuracy</w:t>
            </w:r>
          </w:p>
        </w:tc>
        <w:tc>
          <w:tcPr>
            <w:tcBorders>
              <w:top w:color="000000" w:space="0" w:sz="0" w:val="nil"/>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58">
            <w:pPr>
              <w:spacing w:line="360" w:lineRule="auto"/>
              <w:ind w:left="140" w:right="60" w:hanging="8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9">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16.098</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A">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.000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B">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10.033</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C">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38</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D">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.000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E">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4.000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5F">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.39868</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0">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3.19291</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1">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4.86887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2">
            <w:pPr>
              <w:spacing w:after="240" w:before="240" w:line="360" w:lineRule="auto"/>
              <w:rPr/>
            </w:pPr>
            <w:r w:rsidDel="00000000" w:rsidR="00000000" w:rsidRPr="00000000">
              <w:rPr>
                <w:rtl w:val="0"/>
              </w:rPr>
              <w:t xml:space="preserve"> </w:t>
            </w:r>
          </w:p>
        </w:tc>
      </w:tr>
      <w:tr>
        <w:trPr>
          <w:cantSplit w:val="0"/>
          <w:trHeight w:val="12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64">
            <w:pPr>
              <w:spacing w:line="360" w:lineRule="auto"/>
              <w:ind w:left="60" w:right="60" w:firstLine="0"/>
              <w:jc w:val="center"/>
              <w:rPr>
                <w:rFonts w:ascii="Times New Roman" w:cs="Times New Roman" w:eastAsia="Times New Roman" w:hAnsi="Times New Roman"/>
                <w:color w:val="264a60"/>
              </w:rPr>
            </w:pPr>
            <w:r w:rsidDel="00000000" w:rsidR="00000000" w:rsidRPr="00000000">
              <w:rPr>
                <w:rFonts w:ascii="Times New Roman" w:cs="Times New Roman" w:eastAsia="Times New Roman" w:hAnsi="Times New Roman"/>
                <w:color w:val="264a60"/>
                <w:rtl w:val="0"/>
              </w:rPr>
              <w:t xml:space="preserve">Equal variances not assumed</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7">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10.033</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8">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25.2180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9">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.000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A">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4.000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B">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.39868</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C">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3.17926</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D">
            <w:pPr>
              <w:spacing w:line="360" w:lineRule="auto"/>
              <w:ind w:left="60" w:right="60" w:firstLine="0"/>
              <w:jc w:val="center"/>
              <w:rPr>
                <w:rFonts w:ascii="Times New Roman" w:cs="Times New Roman" w:eastAsia="Times New Roman" w:hAnsi="Times New Roman"/>
                <w:color w:val="010205"/>
              </w:rPr>
            </w:pPr>
            <w:r w:rsidDel="00000000" w:rsidR="00000000" w:rsidRPr="00000000">
              <w:rPr>
                <w:rFonts w:ascii="Times New Roman" w:cs="Times New Roman" w:eastAsia="Times New Roman" w:hAnsi="Times New Roman"/>
                <w:color w:val="010205"/>
                <w:rtl w:val="0"/>
              </w:rPr>
              <w:t xml:space="preserve">4.78193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E">
            <w:pPr>
              <w:spacing w:after="240" w:before="240" w:line="360" w:lineRule="auto"/>
              <w:rPr/>
            </w:pPr>
            <w:r w:rsidDel="00000000" w:rsidR="00000000" w:rsidRPr="00000000">
              <w:rPr>
                <w:rtl w:val="0"/>
              </w:rPr>
              <w:t xml:space="preserve"> </w:t>
            </w:r>
          </w:p>
        </w:tc>
      </w:tr>
    </w:tbl>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12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240" w:before="24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The bar graph chart depicts a comparison between two algorithms on the X-axis, where "DCNN" represents Deep Convolutional Neural Network, and "MLP" stands for Multilayer Perpecptron. The Y-axis displays the average accuracy values, with "DCNN" averaging at approximately 92.30% accuracy and "MLP" at about 88.30%. </w:t>
      </w: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sectPr>
      <w:footerReference r:id="rId1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23</w:t>
    </w:r>
  </w:p>
  <w:p w:rsidR="00000000" w:rsidDel="00000000" w:rsidP="00000000" w:rsidRDefault="00000000" w:rsidRPr="00000000" w14:paraId="00000175">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KyjDY7/zT7b" TargetMode="External"/><Relationship Id="rId42" Type="http://schemas.openxmlformats.org/officeDocument/2006/relationships/hyperlink" Target="http://paperpile.com/b/KyjDY7/zT7b" TargetMode="External"/><Relationship Id="rId41" Type="http://schemas.openxmlformats.org/officeDocument/2006/relationships/hyperlink" Target="http://paperpile.com/b/KyjDY7/zT7b" TargetMode="External"/><Relationship Id="rId44" Type="http://schemas.openxmlformats.org/officeDocument/2006/relationships/hyperlink" Target="http://dx.doi.org/10.3390/diagnostics13091551" TargetMode="External"/><Relationship Id="rId43" Type="http://schemas.openxmlformats.org/officeDocument/2006/relationships/hyperlink" Target="http://paperpile.com/b/KyjDY7/zT7b" TargetMode="External"/><Relationship Id="rId46" Type="http://schemas.openxmlformats.org/officeDocument/2006/relationships/hyperlink" Target="http://paperpile.com/b/KyjDY7/W3lP" TargetMode="External"/><Relationship Id="rId45" Type="http://schemas.openxmlformats.org/officeDocument/2006/relationships/hyperlink" Target="http://paperpile.com/b/KyjDY7/zT7b" TargetMode="External"/><Relationship Id="rId107" Type="http://schemas.openxmlformats.org/officeDocument/2006/relationships/hyperlink" Target="http://paperpile.com/b/KyjDY7/cffY" TargetMode="External"/><Relationship Id="rId106" Type="http://schemas.openxmlformats.org/officeDocument/2006/relationships/hyperlink" Target="http://paperpile.com/b/KyjDY7/cffY" TargetMode="External"/><Relationship Id="rId105" Type="http://schemas.openxmlformats.org/officeDocument/2006/relationships/hyperlink" Target="http://paperpile.com/b/KyjDY7/cffY" TargetMode="External"/><Relationship Id="rId104" Type="http://schemas.openxmlformats.org/officeDocument/2006/relationships/hyperlink" Target="http://paperpile.com/b/KyjDY7/Wofs" TargetMode="External"/><Relationship Id="rId109" Type="http://schemas.openxmlformats.org/officeDocument/2006/relationships/hyperlink" Target="http://paperpile.com/b/KyjDY7/TY2K" TargetMode="External"/><Relationship Id="rId108" Type="http://schemas.openxmlformats.org/officeDocument/2006/relationships/hyperlink" Target="http://paperpile.com/b/KyjDY7/TY2K" TargetMode="External"/><Relationship Id="rId48" Type="http://schemas.openxmlformats.org/officeDocument/2006/relationships/hyperlink" Target="http://paperpile.com/b/KyjDY7/W3lP" TargetMode="External"/><Relationship Id="rId47" Type="http://schemas.openxmlformats.org/officeDocument/2006/relationships/hyperlink" Target="http://paperpile.com/b/KyjDY7/W3lP" TargetMode="External"/><Relationship Id="rId49" Type="http://schemas.openxmlformats.org/officeDocument/2006/relationships/hyperlink" Target="http://paperpile.com/b/KyjDY7/Zahs" TargetMode="External"/><Relationship Id="rId103" Type="http://schemas.openxmlformats.org/officeDocument/2006/relationships/hyperlink" Target="http://paperpile.com/b/KyjDY7/Wofs" TargetMode="External"/><Relationship Id="rId102" Type="http://schemas.openxmlformats.org/officeDocument/2006/relationships/hyperlink" Target="http://paperpile.com/b/KyjDY7/Wofs" TargetMode="External"/><Relationship Id="rId101" Type="http://schemas.openxmlformats.org/officeDocument/2006/relationships/hyperlink" Target="http://paperpile.com/b/KyjDY7/Wofs" TargetMode="External"/><Relationship Id="rId100" Type="http://schemas.openxmlformats.org/officeDocument/2006/relationships/hyperlink" Target="http://paperpile.com/b/KyjDY7/Wofs" TargetMode="External"/><Relationship Id="rId31" Type="http://schemas.openxmlformats.org/officeDocument/2006/relationships/hyperlink" Target="http://paperpile.com/b/KyjDY7/nh0t" TargetMode="External"/><Relationship Id="rId30" Type="http://schemas.openxmlformats.org/officeDocument/2006/relationships/hyperlink" Target="http://paperpile.com/b/KyjDY7/nh0t" TargetMode="External"/><Relationship Id="rId33" Type="http://schemas.openxmlformats.org/officeDocument/2006/relationships/hyperlink" Target="http://paperpile.com/b/KyjDY7/LjMe" TargetMode="External"/><Relationship Id="rId32" Type="http://schemas.openxmlformats.org/officeDocument/2006/relationships/hyperlink" Target="http://paperpile.com/b/KyjDY7/LjMe" TargetMode="External"/><Relationship Id="rId35" Type="http://schemas.openxmlformats.org/officeDocument/2006/relationships/hyperlink" Target="https://search.ebscohost.com/login.aspx?direct=true&amp;profile=ehost&amp;scope=site&amp;authtype=crawler&amp;jrnl=09752366&amp;AN=153004557&amp;h=HuzNUYianoNR1B8mO5524s6O4DkJr49rHcjskm8jwO69nZ011zpE%2FDvVb0Tf%2BfY%2BA0f6cyOGsZmsqJVq5do1Lw%3D%3D&amp;crl=c" TargetMode="External"/><Relationship Id="rId34" Type="http://schemas.openxmlformats.org/officeDocument/2006/relationships/hyperlink" Target="http://paperpile.com/b/KyjDY7/LjMe" TargetMode="External"/><Relationship Id="rId37" Type="http://schemas.openxmlformats.org/officeDocument/2006/relationships/hyperlink" Target="http://paperpile.com/b/KyjDY7/rtPs" TargetMode="External"/><Relationship Id="rId36" Type="http://schemas.openxmlformats.org/officeDocument/2006/relationships/hyperlink" Target="http://paperpile.com/b/KyjDY7/LjMe" TargetMode="External"/><Relationship Id="rId39" Type="http://schemas.openxmlformats.org/officeDocument/2006/relationships/hyperlink" Target="http://paperpile.com/b/KyjDY7/rtPs" TargetMode="External"/><Relationship Id="rId38" Type="http://schemas.openxmlformats.org/officeDocument/2006/relationships/hyperlink" Target="http://paperpile.com/b/KyjDY7/rtPs" TargetMode="External"/><Relationship Id="rId20" Type="http://schemas.openxmlformats.org/officeDocument/2006/relationships/hyperlink" Target="https://paperpile.com/c/KyjDY7/Ofko" TargetMode="External"/><Relationship Id="rId22" Type="http://schemas.openxmlformats.org/officeDocument/2006/relationships/hyperlink" Target="https://paperpile.com/c/KyjDY7/diwU" TargetMode="External"/><Relationship Id="rId21" Type="http://schemas.openxmlformats.org/officeDocument/2006/relationships/hyperlink" Target="https://paperpile.com/c/KyjDY7/qDkg" TargetMode="External"/><Relationship Id="rId24" Type="http://schemas.openxmlformats.org/officeDocument/2006/relationships/hyperlink" Target="https://paperpile.com/c/KyjDY7/cffY" TargetMode="External"/><Relationship Id="rId23" Type="http://schemas.openxmlformats.org/officeDocument/2006/relationships/hyperlink" Target="https://paperpile.com/c/KyjDY7/LjMe" TargetMode="External"/><Relationship Id="rId26" Type="http://schemas.openxmlformats.org/officeDocument/2006/relationships/hyperlink" Target="http://paperpile.com/b/KyjDY7/diwU" TargetMode="External"/><Relationship Id="rId121" Type="http://schemas.openxmlformats.org/officeDocument/2006/relationships/image" Target="media/image1.png"/><Relationship Id="rId25" Type="http://schemas.openxmlformats.org/officeDocument/2006/relationships/hyperlink" Target="https://paperpile.com/c/KyjDY7/MVax" TargetMode="External"/><Relationship Id="rId120" Type="http://schemas.openxmlformats.org/officeDocument/2006/relationships/hyperlink" Target="http://paperpile.com/b/KyjDY7/AklJ" TargetMode="External"/><Relationship Id="rId28" Type="http://schemas.openxmlformats.org/officeDocument/2006/relationships/hyperlink" Target="http://paperpile.com/b/KyjDY7/diwU" TargetMode="External"/><Relationship Id="rId27" Type="http://schemas.openxmlformats.org/officeDocument/2006/relationships/hyperlink" Target="http://paperpile.com/b/KyjDY7/diwU" TargetMode="External"/><Relationship Id="rId29" Type="http://schemas.openxmlformats.org/officeDocument/2006/relationships/hyperlink" Target="http://paperpile.com/b/KyjDY7/nh0t" TargetMode="External"/><Relationship Id="rId122" Type="http://schemas.openxmlformats.org/officeDocument/2006/relationships/footer" Target="footer1.xml"/><Relationship Id="rId95" Type="http://schemas.openxmlformats.org/officeDocument/2006/relationships/hyperlink" Target="http://paperpile.com/b/KyjDY7/MVax" TargetMode="External"/><Relationship Id="rId94" Type="http://schemas.openxmlformats.org/officeDocument/2006/relationships/hyperlink" Target="http://paperpile.com/b/KyjDY7/ykYx" TargetMode="External"/><Relationship Id="rId97" Type="http://schemas.openxmlformats.org/officeDocument/2006/relationships/hyperlink" Target="http://paperpile.com/b/KyjDY7/MVax" TargetMode="External"/><Relationship Id="rId96" Type="http://schemas.openxmlformats.org/officeDocument/2006/relationships/hyperlink" Target="http://paperpile.com/b/KyjDY7/MVax" TargetMode="External"/><Relationship Id="rId11" Type="http://schemas.openxmlformats.org/officeDocument/2006/relationships/hyperlink" Target="https://paperpile.com/c/KyjDY7/yEjE+rtPs+1zyp+mYEw" TargetMode="External"/><Relationship Id="rId99" Type="http://schemas.openxmlformats.org/officeDocument/2006/relationships/hyperlink" Target="http://paperpile.com/b/KyjDY7/MVax" TargetMode="External"/><Relationship Id="rId10" Type="http://schemas.openxmlformats.org/officeDocument/2006/relationships/hyperlink" Target="https://paperpile.com/c/KyjDY7/zT7b" TargetMode="External"/><Relationship Id="rId98" Type="http://schemas.openxmlformats.org/officeDocument/2006/relationships/hyperlink" Target="http://paperpile.com/b/KyjDY7/MVax" TargetMode="External"/><Relationship Id="rId13" Type="http://schemas.openxmlformats.org/officeDocument/2006/relationships/hyperlink" Target="https://paperpile.com/c/KyjDY7/CtTN" TargetMode="External"/><Relationship Id="rId12" Type="http://schemas.openxmlformats.org/officeDocument/2006/relationships/hyperlink" Target="https://paperpile.com/c/KyjDY7/Wofs" TargetMode="External"/><Relationship Id="rId91" Type="http://schemas.openxmlformats.org/officeDocument/2006/relationships/hyperlink" Target="http://paperpile.com/b/KyjDY7/ykYx" TargetMode="External"/><Relationship Id="rId90" Type="http://schemas.openxmlformats.org/officeDocument/2006/relationships/hyperlink" Target="http://paperpile.com/b/KyjDY7/ykYx" TargetMode="External"/><Relationship Id="rId93" Type="http://schemas.openxmlformats.org/officeDocument/2006/relationships/hyperlink" Target="http://dx.doi.org/10.14569/IJACSA.2023.0140765" TargetMode="External"/><Relationship Id="rId92" Type="http://schemas.openxmlformats.org/officeDocument/2006/relationships/hyperlink" Target="http://paperpile.com/b/KyjDY7/ykYx" TargetMode="External"/><Relationship Id="rId118" Type="http://schemas.openxmlformats.org/officeDocument/2006/relationships/hyperlink" Target="http://paperpile.com/b/KyjDY7/AklJ" TargetMode="External"/><Relationship Id="rId117" Type="http://schemas.openxmlformats.org/officeDocument/2006/relationships/hyperlink" Target="http://paperpile.com/b/KyjDY7/CtTN" TargetMode="External"/><Relationship Id="rId116" Type="http://schemas.openxmlformats.org/officeDocument/2006/relationships/hyperlink" Target="http://paperpile.com/b/KyjDY7/CtTN" TargetMode="External"/><Relationship Id="rId115" Type="http://schemas.openxmlformats.org/officeDocument/2006/relationships/hyperlink" Target="http://paperpile.com/b/KyjDY7/CtTN" TargetMode="External"/><Relationship Id="rId119" Type="http://schemas.openxmlformats.org/officeDocument/2006/relationships/hyperlink" Target="http://paperpile.com/b/KyjDY7/AklJ" TargetMode="External"/><Relationship Id="rId15" Type="http://schemas.openxmlformats.org/officeDocument/2006/relationships/hyperlink" Target="https://paperpile.com/c/KyjDY7/ITpR" TargetMode="External"/><Relationship Id="rId110" Type="http://schemas.openxmlformats.org/officeDocument/2006/relationships/hyperlink" Target="http://paperpile.com/b/KyjDY7/TY2K" TargetMode="External"/><Relationship Id="rId14" Type="http://schemas.openxmlformats.org/officeDocument/2006/relationships/hyperlink" Target="https://paperpile.com/c/KyjDY7/W3lP" TargetMode="External"/><Relationship Id="rId17" Type="http://schemas.openxmlformats.org/officeDocument/2006/relationships/hyperlink" Target="https://paperpile.com/c/KyjDY7/f18u" TargetMode="External"/><Relationship Id="rId16" Type="http://schemas.openxmlformats.org/officeDocument/2006/relationships/hyperlink" Target="https://paperpile.com/c/KyjDY7/nh0t" TargetMode="External"/><Relationship Id="rId19" Type="http://schemas.openxmlformats.org/officeDocument/2006/relationships/hyperlink" Target="https://paperpile.com/c/KyjDY7/CtTN" TargetMode="External"/><Relationship Id="rId114" Type="http://schemas.openxmlformats.org/officeDocument/2006/relationships/hyperlink" Target="http://paperpile.com/b/KyjDY7/CtTN" TargetMode="External"/><Relationship Id="rId18" Type="http://schemas.openxmlformats.org/officeDocument/2006/relationships/hyperlink" Target="https://paperpile.com/c/KyjDY7/AklJ" TargetMode="External"/><Relationship Id="rId113" Type="http://schemas.openxmlformats.org/officeDocument/2006/relationships/hyperlink" Target="http://paperpile.com/b/KyjDY7/CtTN" TargetMode="External"/><Relationship Id="rId112" Type="http://schemas.openxmlformats.org/officeDocument/2006/relationships/hyperlink" Target="http://paperpile.com/b/KyjDY7/CtTN" TargetMode="External"/><Relationship Id="rId111" Type="http://schemas.openxmlformats.org/officeDocument/2006/relationships/hyperlink" Target="http://paperpile.com/b/KyjDY7/CtTN" TargetMode="External"/><Relationship Id="rId84" Type="http://schemas.openxmlformats.org/officeDocument/2006/relationships/hyperlink" Target="http://paperpile.com/b/KyjDY7/JPnt" TargetMode="External"/><Relationship Id="rId83" Type="http://schemas.openxmlformats.org/officeDocument/2006/relationships/hyperlink" Target="http://dx.doi.org/10.3390/healthcare11050697" TargetMode="External"/><Relationship Id="rId86" Type="http://schemas.openxmlformats.org/officeDocument/2006/relationships/hyperlink" Target="http://paperpile.com/b/KyjDY7/mYEw" TargetMode="External"/><Relationship Id="rId85" Type="http://schemas.openxmlformats.org/officeDocument/2006/relationships/hyperlink" Target="http://paperpile.com/b/KyjDY7/mYEw" TargetMode="External"/><Relationship Id="rId88" Type="http://schemas.openxmlformats.org/officeDocument/2006/relationships/hyperlink" Target="http://dx.doi.org/10.3390/jcm11154586" TargetMode="External"/><Relationship Id="rId87" Type="http://schemas.openxmlformats.org/officeDocument/2006/relationships/hyperlink" Target="http://paperpile.com/b/KyjDY7/mYEw" TargetMode="External"/><Relationship Id="rId89" Type="http://schemas.openxmlformats.org/officeDocument/2006/relationships/hyperlink" Target="http://paperpile.com/b/KyjDY7/mYEw" TargetMode="External"/><Relationship Id="rId80" Type="http://schemas.openxmlformats.org/officeDocument/2006/relationships/hyperlink" Target="http://paperpile.com/b/KyjDY7/JPnt" TargetMode="External"/><Relationship Id="rId82" Type="http://schemas.openxmlformats.org/officeDocument/2006/relationships/hyperlink" Target="http://paperpile.com/b/KyjDY7/JPnt" TargetMode="External"/><Relationship Id="rId81" Type="http://schemas.openxmlformats.org/officeDocument/2006/relationships/hyperlink" Target="http://paperpile.com/b/KyjDY7/JP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KyjDY7/Zahs" TargetMode="External"/><Relationship Id="rId5" Type="http://schemas.openxmlformats.org/officeDocument/2006/relationships/styles" Target="styles.xml"/><Relationship Id="rId6" Type="http://schemas.openxmlformats.org/officeDocument/2006/relationships/hyperlink" Target="https://paperpile.com/c/KyjDY7/JPnt" TargetMode="External"/><Relationship Id="rId7" Type="http://schemas.openxmlformats.org/officeDocument/2006/relationships/hyperlink" Target="https://paperpile.com/c/KyjDY7/TY2K" TargetMode="External"/><Relationship Id="rId8" Type="http://schemas.openxmlformats.org/officeDocument/2006/relationships/hyperlink" Target="https://paperpile.com/c/KyjDY7/ykYx" TargetMode="External"/><Relationship Id="rId73" Type="http://schemas.openxmlformats.org/officeDocument/2006/relationships/hyperlink" Target="http://paperpile.com/b/KyjDY7/1zyp" TargetMode="External"/><Relationship Id="rId72" Type="http://schemas.openxmlformats.org/officeDocument/2006/relationships/hyperlink" Target="http://paperpile.com/b/KyjDY7/1zyp" TargetMode="External"/><Relationship Id="rId75" Type="http://schemas.openxmlformats.org/officeDocument/2006/relationships/hyperlink" Target="http://paperpile.com/b/KyjDY7/f18u" TargetMode="External"/><Relationship Id="rId74" Type="http://schemas.openxmlformats.org/officeDocument/2006/relationships/hyperlink" Target="http://paperpile.com/b/KyjDY7/1zyp" TargetMode="External"/><Relationship Id="rId77" Type="http://schemas.openxmlformats.org/officeDocument/2006/relationships/hyperlink" Target="http://paperpile.com/b/KyjDY7/f18u" TargetMode="External"/><Relationship Id="rId76" Type="http://schemas.openxmlformats.org/officeDocument/2006/relationships/hyperlink" Target="http://paperpile.com/b/KyjDY7/f18u" TargetMode="External"/><Relationship Id="rId79" Type="http://schemas.openxmlformats.org/officeDocument/2006/relationships/hyperlink" Target="http://paperpile.com/b/KyjDY7/JPnt" TargetMode="External"/><Relationship Id="rId78" Type="http://schemas.openxmlformats.org/officeDocument/2006/relationships/hyperlink" Target="http://paperpile.com/b/KyjDY7/JPnt" TargetMode="External"/><Relationship Id="rId71" Type="http://schemas.openxmlformats.org/officeDocument/2006/relationships/hyperlink" Target="http://paperpile.com/b/KyjDY7/qDkg" TargetMode="External"/><Relationship Id="rId70" Type="http://schemas.openxmlformats.org/officeDocument/2006/relationships/hyperlink" Target="http://dspace.uniten.edu.my/handle/123456789/17829" TargetMode="External"/><Relationship Id="rId62" Type="http://schemas.openxmlformats.org/officeDocument/2006/relationships/hyperlink" Target="https://www.degruyter.com/document/doi/10.1515/cclm-2021-1194/html?trk=organization_guest_main-feed-card_reshare_feed-article-content" TargetMode="External"/><Relationship Id="rId61" Type="http://schemas.openxmlformats.org/officeDocument/2006/relationships/hyperlink" Target="http://paperpile.com/b/KyjDY7/Ofko" TargetMode="External"/><Relationship Id="rId64" Type="http://schemas.openxmlformats.org/officeDocument/2006/relationships/hyperlink" Target="http://paperpile.com/b/KyjDY7/ITpR" TargetMode="External"/><Relationship Id="rId63" Type="http://schemas.openxmlformats.org/officeDocument/2006/relationships/hyperlink" Target="http://paperpile.com/b/KyjDY7/Ofko" TargetMode="External"/><Relationship Id="rId66" Type="http://schemas.openxmlformats.org/officeDocument/2006/relationships/hyperlink" Target="http://paperpile.com/b/KyjDY7/ITpR" TargetMode="External"/><Relationship Id="rId65" Type="http://schemas.openxmlformats.org/officeDocument/2006/relationships/hyperlink" Target="http://paperpile.com/b/KyjDY7/ITpR" TargetMode="External"/><Relationship Id="rId68" Type="http://schemas.openxmlformats.org/officeDocument/2006/relationships/hyperlink" Target="http://paperpile.com/b/KyjDY7/qDkg" TargetMode="External"/><Relationship Id="rId67" Type="http://schemas.openxmlformats.org/officeDocument/2006/relationships/hyperlink" Target="http://paperpile.com/b/KyjDY7/qDkg" TargetMode="External"/><Relationship Id="rId60" Type="http://schemas.openxmlformats.org/officeDocument/2006/relationships/hyperlink" Target="http://paperpile.com/b/KyjDY7/Ofko" TargetMode="External"/><Relationship Id="rId69" Type="http://schemas.openxmlformats.org/officeDocument/2006/relationships/hyperlink" Target="http://paperpile.com/b/KyjDY7/qDkg" TargetMode="External"/><Relationship Id="rId51" Type="http://schemas.openxmlformats.org/officeDocument/2006/relationships/hyperlink" Target="http://paperpile.com/b/KyjDY7/Zahs" TargetMode="External"/><Relationship Id="rId50" Type="http://schemas.openxmlformats.org/officeDocument/2006/relationships/hyperlink" Target="http://paperpile.com/b/KyjDY7/Zahs" TargetMode="External"/><Relationship Id="rId53" Type="http://schemas.openxmlformats.org/officeDocument/2006/relationships/hyperlink" Target="http://paperpile.com/b/KyjDY7/Zahs" TargetMode="External"/><Relationship Id="rId52" Type="http://schemas.openxmlformats.org/officeDocument/2006/relationships/hyperlink" Target="http://paperpile.com/b/KyjDY7/Zahs" TargetMode="External"/><Relationship Id="rId55" Type="http://schemas.openxmlformats.org/officeDocument/2006/relationships/hyperlink" Target="http://paperpile.com/b/KyjDY7/Zahs" TargetMode="External"/><Relationship Id="rId54" Type="http://schemas.openxmlformats.org/officeDocument/2006/relationships/hyperlink" Target="http://paperpile.com/b/KyjDY7/Zahs" TargetMode="External"/><Relationship Id="rId57" Type="http://schemas.openxmlformats.org/officeDocument/2006/relationships/hyperlink" Target="http://paperpile.com/b/KyjDY7/yEjE" TargetMode="External"/><Relationship Id="rId56" Type="http://schemas.openxmlformats.org/officeDocument/2006/relationships/hyperlink" Target="http://paperpile.com/b/KyjDY7/yEjE" TargetMode="External"/><Relationship Id="rId59" Type="http://schemas.openxmlformats.org/officeDocument/2006/relationships/hyperlink" Target="http://paperpile.com/b/KyjDY7/Ofko" TargetMode="External"/><Relationship Id="rId58" Type="http://schemas.openxmlformats.org/officeDocument/2006/relationships/hyperlink" Target="http://paperpile.com/b/KyjDY7/yE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