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280" w:lineRule="auto"/>
        <w:ind w:left="0" w:firstLine="0"/>
        <w:rPr>
          <w:rFonts w:ascii="Times New Roman" w:cs="Times New Roman" w:eastAsia="Times New Roman" w:hAnsi="Times New Roman"/>
          <w:b w:val="1"/>
          <w:bCs w:val="1"/>
          <w:color w:val="000000"/>
          <w:sz w:val="26"/>
          <w:szCs w:val="26"/>
        </w:rPr>
      </w:pPr>
      <w:bookmarkStart w:colFirst="0" w:colLast="0" w:name="_ts0y4roc0pky" w:id="0"/>
      <w:bookmarkEnd w:id="0"/>
      <w:r w:rsidDel="00000000" w:rsidR="00000000" w:rsidRPr="00000000">
        <w:rPr>
          <w:rFonts w:ascii="Times New Roman" w:cs="Times New Roman" w:eastAsia="Times New Roman" w:hAnsi="Times New Roman"/>
          <w:b w:val="1"/>
          <w:bCs w:val="1"/>
          <w:color w:val="000000"/>
          <w:sz w:val="26"/>
          <w:szCs w:val="26"/>
          <w:rtl w:val="0"/>
        </w:rPr>
        <w:t xml:space="preserve">Title Page: </w:t>
      </w:r>
    </w:p>
    <w:p w:rsidR="00000000" w:rsidDel="00000000" w:rsidP="00000000" w:rsidRDefault="00000000" w:rsidRPr="00000000" w14:paraId="00000002">
      <w:pPr>
        <w:pStyle w:val="Heading3"/>
        <w:keepNext w:val="0"/>
        <w:keepLines w:val="0"/>
        <w:spacing w:after="160" w:before="280" w:lineRule="auto"/>
        <w:jc w:val="center"/>
        <w:rPr>
          <w:rFonts w:ascii="Times New Roman" w:cs="Times New Roman" w:eastAsia="Times New Roman" w:hAnsi="Times New Roman"/>
          <w:color w:val="000000"/>
        </w:rPr>
      </w:pPr>
      <w:bookmarkStart w:colFirst="0" w:colLast="0" w:name="_lc04wjptfnyw" w:id="1"/>
      <w:bookmarkEnd w:id="1"/>
      <w:r w:rsidDel="00000000" w:rsidR="00000000" w:rsidRPr="00000000">
        <w:rPr>
          <w:rFonts w:ascii="Times New Roman" w:cs="Times New Roman" w:eastAsia="Times New Roman" w:hAnsi="Times New Roman"/>
          <w:color w:val="000000"/>
          <w:rtl w:val="0"/>
        </w:rPr>
        <w:t xml:space="preserve">Enhancing Accuracy in Predicting Iron Deficiency Anaemia Risk among Pediatric Patients using Deep Convolutional Neural Networks in comparison with Autoencoder Algorithm</w:t>
      </w:r>
    </w:p>
    <w:p w:rsidR="00000000" w:rsidDel="00000000" w:rsidP="00000000" w:rsidRDefault="00000000" w:rsidRPr="00000000" w14:paraId="00000003">
      <w:pPr>
        <w:pStyle w:val="Heading3"/>
        <w:keepNext w:val="0"/>
        <w:keepLines w:val="0"/>
        <w:spacing w:after="160" w:before="280" w:lineRule="auto"/>
        <w:jc w:val="left"/>
        <w:rPr>
          <w:rFonts w:ascii="Times New Roman" w:cs="Times New Roman" w:eastAsia="Times New Roman" w:hAnsi="Times New Roman"/>
          <w:color w:val="000000"/>
          <w:sz w:val="24"/>
          <w:szCs w:val="24"/>
        </w:rPr>
      </w:pPr>
      <w:bookmarkStart w:colFirst="0" w:colLast="0" w:name="_ggted8hxwyro" w:id="2"/>
      <w:bookmarkEnd w:id="2"/>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Devarakonda Reena Yasmeen </w:t>
      </w:r>
      <w:r w:rsidDel="00000000" w:rsidR="00000000" w:rsidRPr="00000000">
        <w:rPr>
          <w:rFonts w:ascii="Times New Roman" w:cs="Times New Roman" w:eastAsia="Times New Roman" w:hAnsi="Times New Roman"/>
          <w:color w:val="000000"/>
          <w:sz w:val="24"/>
          <w:szCs w:val="24"/>
          <w:vertAlign w:val="super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A. Gnana Soundari </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tl w:val="0"/>
        </w:rPr>
      </w:r>
    </w:p>
    <w:p w:rsidR="00000000" w:rsidDel="00000000" w:rsidP="00000000" w:rsidRDefault="00000000" w:rsidRPr="00000000" w14:paraId="00000004">
      <w:pPr>
        <w:pStyle w:val="Heading3"/>
        <w:keepNext w:val="0"/>
        <w:keepLines w:val="0"/>
        <w:spacing w:after="160" w:before="280" w:lineRule="auto"/>
        <w:jc w:val="left"/>
        <w:rPr>
          <w:rFonts w:ascii="Times New Roman" w:cs="Times New Roman" w:eastAsia="Times New Roman" w:hAnsi="Times New Roman"/>
          <w:sz w:val="24"/>
          <w:szCs w:val="24"/>
        </w:rPr>
      </w:pPr>
      <w:bookmarkStart w:colFirst="0" w:colLast="0" w:name="_rvp740ojusvt" w:id="3"/>
      <w:bookmarkEnd w:id="3"/>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Devarakonda Reena Yasmeen </w:t>
      </w:r>
      <w:r w:rsidDel="00000000" w:rsidR="00000000" w:rsidRPr="00000000">
        <w:rPr>
          <w:rFonts w:ascii="Times New Roman" w:cs="Times New Roman" w:eastAsia="Times New Roman" w:hAnsi="Times New Roman"/>
          <w:sz w:val="24"/>
          <w:szCs w:val="24"/>
          <w:vertAlign w:val="superscript"/>
          <w:rtl w:val="0"/>
        </w:rPr>
        <w:t xml:space="preserve">1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reenayasmeend1261.sse@saveetha.com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A.Gnana Soundari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gnanasoundaria.sse@saveetha.com.</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rtl w:val="0"/>
        </w:rPr>
        <w:t xml:space="preserve">Iron Deficiency Anaemia</w:t>
      </w:r>
      <w:r w:rsidDel="00000000" w:rsidR="00000000" w:rsidRPr="00000000">
        <w:rPr>
          <w:rFonts w:ascii="Times New Roman" w:cs="Times New Roman" w:eastAsia="Times New Roman" w:hAnsi="Times New Roman"/>
          <w:sz w:val="24"/>
          <w:szCs w:val="24"/>
          <w:rtl w:val="0"/>
        </w:rPr>
        <w:t xml:space="preserve">, Pediatric patients, Novel Deep Convolutional Neural Network, Autoencoder, Diagnosis, Healthcare, Machine Learning</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This study aims to develop and evaluate a predictive model for assessing the risk of Iron Deficiency Anaemia (IDA) among pediatric patients using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with the Autoencoder algorithm.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The datasets employed in this study were obtained from Kaggle, a reputable platform for sharing and accessing datasets. The study used two distinct groups of algorithms for predicting Iron Deficiency Anaemia (IDA) risk, specifically the Autoencoder algorithm (Group 1) and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(Group 2). A total sample size of 40 pediatric patients was employed, with each group comprising 20 samples. The selection of this sample size was determined through a rigorous statistical analysis. The primary metric used for comparison was accuracy. The sample size for this analysis was determined statistically to ensure adequate power and significance. The statistical analysis was conducted using the clincalc.com platform, with a predefined statistical power (G-power) of 80%. Additionally, alpha (α) and beta (β) values were set at 0.05 and 0.2, respectively, to control for Type I and Type II errors. A confidence interval of 95% was established to assess the robustness of the results and draw valid conclusions regarding the comparative performance of the two algorithms. </w:t>
      </w: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The results of the analysis indicate that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achieved an accuracy of 92.50%, while the Autoencoder algorithm achieved an accuracy of 83.20% in predicting Iron Deficiency Anaemia (IDA) risk among pediatric patients. </w:t>
      </w:r>
      <w:r w:rsidDel="00000000" w:rsidR="00000000" w:rsidRPr="00000000">
        <w:rPr>
          <w:rFonts w:ascii="Times New Roman" w:cs="Times New Roman" w:eastAsia="Times New Roman" w:hAnsi="Times New Roman"/>
          <w:sz w:val="24"/>
          <w:szCs w:val="24"/>
          <w:rtl w:val="0"/>
        </w:rPr>
        <w:t xml:space="preserve">A two-tailed significance test was conducted to assess the difference in accuracy between the two algorithms, yielding a p-value of 0.024 (P&lt;0.05).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conclusion, this study has provided valuable insights into the predictive capabilities of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the Autoencoder algorithms in assessing Iron Deficiency Anaemia (IDA) risk among pediatric patients.</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rtl w:val="0"/>
        </w:rPr>
        <w:t xml:space="preserve">Iron Deficiency Anaemia</w:t>
      </w:r>
      <w:r w:rsidDel="00000000" w:rsidR="00000000" w:rsidRPr="00000000">
        <w:rPr>
          <w:rFonts w:ascii="Times New Roman" w:cs="Times New Roman" w:eastAsia="Times New Roman" w:hAnsi="Times New Roman"/>
          <w:sz w:val="24"/>
          <w:szCs w:val="24"/>
          <w:rtl w:val="0"/>
        </w:rPr>
        <w:t xml:space="preserve">, Pediatric patients, Novel Deep Convolutional Neural Network, Autoencoder, Diagnosis, Healthcare, Machine Learning</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Deficiency Anaemia (IDA) is a prevalent and clinically significant health condition, particularly among pediatric patients</w:t>
      </w:r>
      <w:hyperlink r:id="rId6">
        <w:r w:rsidDel="00000000" w:rsidR="00000000" w:rsidRPr="00000000">
          <w:rPr>
            <w:rFonts w:ascii="Times New Roman" w:cs="Times New Roman" w:eastAsia="Times New Roman" w:hAnsi="Times New Roman"/>
            <w:sz w:val="24"/>
            <w:szCs w:val="24"/>
            <w:rtl w:val="0"/>
          </w:rPr>
          <w:t xml:space="preserve"> (Mabrouk et al. 2022)</w:t>
        </w:r>
      </w:hyperlink>
      <w:r w:rsidDel="00000000" w:rsidR="00000000" w:rsidRPr="00000000">
        <w:rPr>
          <w:rFonts w:ascii="Times New Roman" w:cs="Times New Roman" w:eastAsia="Times New Roman" w:hAnsi="Times New Roman"/>
          <w:sz w:val="24"/>
          <w:szCs w:val="24"/>
          <w:rtl w:val="0"/>
        </w:rPr>
        <w:t xml:space="preserve">. It is characterized by a decrease in the number of red blood cells or a reduction in the concentration of hemoglobin in the blood, primarily caused by an inadequate supply of iron to the body. IDA can lead to a range of adverse health effects, including fatigue, weakness, impaired cognitive development, and compromised immune function</w:t>
      </w:r>
      <w:hyperlink r:id="rId7">
        <w:r w:rsidDel="00000000" w:rsidR="00000000" w:rsidRPr="00000000">
          <w:rPr>
            <w:rFonts w:ascii="Times New Roman" w:cs="Times New Roman" w:eastAsia="Times New Roman" w:hAnsi="Times New Roman"/>
            <w:sz w:val="24"/>
            <w:szCs w:val="24"/>
            <w:rtl w:val="0"/>
          </w:rPr>
          <w:t xml:space="preserve"> (El Amrousy et al. 2022)</w:t>
        </w:r>
      </w:hyperlink>
      <w:r w:rsidDel="00000000" w:rsidR="00000000" w:rsidRPr="00000000">
        <w:rPr>
          <w:rFonts w:ascii="Times New Roman" w:cs="Times New Roman" w:eastAsia="Times New Roman" w:hAnsi="Times New Roman"/>
          <w:sz w:val="24"/>
          <w:szCs w:val="24"/>
          <w:rtl w:val="0"/>
        </w:rPr>
        <w:t xml:space="preserve">. Timely diagnosis and intervention are essential to mitigate these consequences. The conventional methods for diagnosing IDA often rely on manual interpretation of clinical and laboratory data, which can be time-consuming and subject to human error</w:t>
      </w:r>
      <w:hyperlink r:id="rId8">
        <w:r w:rsidDel="00000000" w:rsidR="00000000" w:rsidRPr="00000000">
          <w:rPr>
            <w:rFonts w:ascii="Times New Roman" w:cs="Times New Roman" w:eastAsia="Times New Roman" w:hAnsi="Times New Roman"/>
            <w:sz w:val="24"/>
            <w:szCs w:val="24"/>
            <w:rtl w:val="0"/>
          </w:rPr>
          <w:t xml:space="preserve"> (Trillo et al. 2022)</w:t>
        </w:r>
      </w:hyperlink>
      <w:r w:rsidDel="00000000" w:rsidR="00000000" w:rsidRPr="00000000">
        <w:rPr>
          <w:rFonts w:ascii="Times New Roman" w:cs="Times New Roman" w:eastAsia="Times New Roman" w:hAnsi="Times New Roman"/>
          <w:sz w:val="24"/>
          <w:szCs w:val="24"/>
          <w:rtl w:val="0"/>
        </w:rPr>
        <w:t xml:space="preserve">. These methods may lack the sensitivity and specificity required for early detection, leading to delayed treatment.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 response to the limitations of traditional methods, this study proposes the use of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for the early prediction of IDA risk among pediatric patients</w:t>
      </w:r>
      <w:hyperlink r:id="rId9">
        <w:r w:rsidDel="00000000" w:rsidR="00000000" w:rsidRPr="00000000">
          <w:rPr>
            <w:rFonts w:ascii="Times New Roman" w:cs="Times New Roman" w:eastAsia="Times New Roman" w:hAnsi="Times New Roman"/>
            <w:sz w:val="24"/>
            <w:szCs w:val="24"/>
            <w:rtl w:val="0"/>
          </w:rPr>
          <w:t xml:space="preserve"> (Kilicarslan, Celik, and Sahin 2021)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successful implementation of the DCNN algorithm has far-reaching implications in the field of healthcare. It can enhance the efficiency and accuracy of IDA diagnosis, allowing healthcare professionals to identify at-risk patients more effectively</w:t>
      </w:r>
      <w:hyperlink r:id="rId10">
        <w:r w:rsidDel="00000000" w:rsidR="00000000" w:rsidRPr="00000000">
          <w:rPr>
            <w:rFonts w:ascii="Times New Roman" w:cs="Times New Roman" w:eastAsia="Times New Roman" w:hAnsi="Times New Roman"/>
            <w:sz w:val="24"/>
            <w:szCs w:val="24"/>
            <w:rtl w:val="0"/>
          </w:rPr>
          <w:t xml:space="preserve"> (Nashwan et al. 2023)</w:t>
        </w:r>
      </w:hyperlink>
      <w:r w:rsidDel="00000000" w:rsidR="00000000" w:rsidRPr="00000000">
        <w:rPr>
          <w:rFonts w:ascii="Times New Roman" w:cs="Times New Roman" w:eastAsia="Times New Roman" w:hAnsi="Times New Roman"/>
          <w:sz w:val="24"/>
          <w:szCs w:val="24"/>
          <w:rtl w:val="0"/>
        </w:rPr>
        <w:t xml:space="preserve">. Moreover, the algorithm's ability to automatically extract relevant features from complex datasets could extend its utility to other medical conditions beyond IDA.</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research endeavors have explored into a multitude of algorithms aimed at predicting Iron Deficiency Anaemia (IDA)</w:t>
      </w:r>
      <w:hyperlink r:id="rId11">
        <w:r w:rsidDel="00000000" w:rsidR="00000000" w:rsidRPr="00000000">
          <w:rPr>
            <w:rFonts w:ascii="Times New Roman" w:cs="Times New Roman" w:eastAsia="Times New Roman" w:hAnsi="Times New Roman"/>
            <w:sz w:val="24"/>
            <w:szCs w:val="24"/>
            <w:rtl w:val="0"/>
          </w:rPr>
          <w:t xml:space="preserve"> (Dejene, Abuhay, and Bogale 2022; Zhao et al. 2022; Rabbani et al. 2022; Meier and Tschoellitsch 2022)</w:t>
        </w:r>
      </w:hyperlink>
      <w:r w:rsidDel="00000000" w:rsidR="00000000" w:rsidRPr="00000000">
        <w:rPr>
          <w:rFonts w:ascii="Times New Roman" w:cs="Times New Roman" w:eastAsia="Times New Roman" w:hAnsi="Times New Roman"/>
          <w:sz w:val="24"/>
          <w:szCs w:val="24"/>
          <w:rtl w:val="0"/>
        </w:rPr>
        <w:t xml:space="preserve">. This extensive body of work encompasses approximately 129 research works accessible through IEEE Explore and an additional 148 research articles available via Google Scholar. Erten et al.</w:t>
      </w:r>
      <w:hyperlink r:id="rId12">
        <w:r w:rsidDel="00000000" w:rsidR="00000000" w:rsidRPr="00000000">
          <w:rPr>
            <w:rFonts w:ascii="Times New Roman" w:cs="Times New Roman" w:eastAsia="Times New Roman" w:hAnsi="Times New Roman"/>
            <w:sz w:val="24"/>
            <w:szCs w:val="24"/>
            <w:rtl w:val="0"/>
          </w:rPr>
          <w:t xml:space="preserve"> (Erten and Tuncer 2022)</w:t>
        </w:r>
      </w:hyperlink>
      <w:r w:rsidDel="00000000" w:rsidR="00000000" w:rsidRPr="00000000">
        <w:rPr>
          <w:rFonts w:ascii="Times New Roman" w:cs="Times New Roman" w:eastAsia="Times New Roman" w:hAnsi="Times New Roman"/>
          <w:sz w:val="24"/>
          <w:szCs w:val="24"/>
          <w:rtl w:val="0"/>
        </w:rPr>
        <w:t xml:space="preserve"> employed the Support Vector Machine (SVM) algorithm, which demonstrated promising results in accurately classifying pediatric patients with IDA, showcasing its potential in clinical applications. Sun et al.</w:t>
      </w:r>
      <w:hyperlink r:id="rId13">
        <w:r w:rsidDel="00000000" w:rsidR="00000000" w:rsidRPr="00000000">
          <w:rPr>
            <w:rFonts w:ascii="Times New Roman" w:cs="Times New Roman" w:eastAsia="Times New Roman" w:hAnsi="Times New Roman"/>
            <w:sz w:val="24"/>
            <w:szCs w:val="24"/>
            <w:rtl w:val="0"/>
          </w:rPr>
          <w:t xml:space="preserve"> (Sun et al. 2023)</w:t>
        </w:r>
      </w:hyperlink>
      <w:r w:rsidDel="00000000" w:rsidR="00000000" w:rsidRPr="00000000">
        <w:rPr>
          <w:rFonts w:ascii="Times New Roman" w:cs="Times New Roman" w:eastAsia="Times New Roman" w:hAnsi="Times New Roman"/>
          <w:sz w:val="24"/>
          <w:szCs w:val="24"/>
          <w:rtl w:val="0"/>
        </w:rPr>
        <w:t xml:space="preserve"> investigated Random Forest (RF) algorithms, revealing that RF-based models exhibited robustness and high predictive accuracy, making them suitable for handling the complexity of IDA datasets. Nurrahman et al.</w:t>
      </w:r>
      <w:hyperlink r:id="rId14">
        <w:r w:rsidDel="00000000" w:rsidR="00000000" w:rsidRPr="00000000">
          <w:rPr>
            <w:rFonts w:ascii="Times New Roman" w:cs="Times New Roman" w:eastAsia="Times New Roman" w:hAnsi="Times New Roman"/>
            <w:sz w:val="24"/>
            <w:szCs w:val="24"/>
            <w:rtl w:val="0"/>
          </w:rPr>
          <w:t xml:space="preserve"> (Nurrahman et al. 2023)</w:t>
        </w:r>
      </w:hyperlink>
      <w:r w:rsidDel="00000000" w:rsidR="00000000" w:rsidRPr="00000000">
        <w:rPr>
          <w:rFonts w:ascii="Times New Roman" w:cs="Times New Roman" w:eastAsia="Times New Roman" w:hAnsi="Times New Roman"/>
          <w:sz w:val="24"/>
          <w:szCs w:val="24"/>
          <w:rtl w:val="0"/>
        </w:rPr>
        <w:t xml:space="preserve"> conducted a study using a Bayesian Network (BN) approach, which demonstrated the BN model's ability to capture probabilistic relationships between clinical and laboratory features, offering valuable insights into disease diagnosis and risk assessment. Noman et al.</w:t>
      </w:r>
      <w:hyperlink r:id="rId15">
        <w:r w:rsidDel="00000000" w:rsidR="00000000" w:rsidRPr="00000000">
          <w:rPr>
            <w:rFonts w:ascii="Times New Roman" w:cs="Times New Roman" w:eastAsia="Times New Roman" w:hAnsi="Times New Roman"/>
            <w:sz w:val="24"/>
            <w:szCs w:val="24"/>
            <w:rtl w:val="0"/>
          </w:rPr>
          <w:t xml:space="preserve"> (Noman Qasem and Mosavi 2020)</w:t>
        </w:r>
      </w:hyperlink>
      <w:r w:rsidDel="00000000" w:rsidR="00000000" w:rsidRPr="00000000">
        <w:rPr>
          <w:rFonts w:ascii="Times New Roman" w:cs="Times New Roman" w:eastAsia="Times New Roman" w:hAnsi="Times New Roman"/>
          <w:sz w:val="24"/>
          <w:szCs w:val="24"/>
          <w:rtl w:val="0"/>
        </w:rPr>
        <w:t xml:space="preserve"> explored K-Nearest Neighbors (KNN) algorithms, indicating that KNN-based models could effectively classify IDA cases, providing a simple yet powerful approach for healthcare practitioners. Jahangiri et al.</w:t>
      </w:r>
      <w:hyperlink r:id="rId16">
        <w:r w:rsidDel="00000000" w:rsidR="00000000" w:rsidRPr="00000000">
          <w:rPr>
            <w:rFonts w:ascii="Times New Roman" w:cs="Times New Roman" w:eastAsia="Times New Roman" w:hAnsi="Times New Roman"/>
            <w:sz w:val="24"/>
            <w:szCs w:val="24"/>
            <w:rtl w:val="0"/>
          </w:rPr>
          <w:t xml:space="preserve"> (Jahangiri et al. 2021)</w:t>
        </w:r>
      </w:hyperlink>
      <w:r w:rsidDel="00000000" w:rsidR="00000000" w:rsidRPr="00000000">
        <w:rPr>
          <w:rFonts w:ascii="Times New Roman" w:cs="Times New Roman" w:eastAsia="Times New Roman" w:hAnsi="Times New Roman"/>
          <w:sz w:val="24"/>
          <w:szCs w:val="24"/>
          <w:rtl w:val="0"/>
        </w:rPr>
        <w:t xml:space="preserve"> employed Decision Tree (DT) algorithms, finding that DT-based models could offer interpretable insights into the factors contributing to IDA, aiding in clinical decision-making. Karagül et al.</w:t>
      </w:r>
      <w:hyperlink r:id="rId17">
        <w:r w:rsidDel="00000000" w:rsidR="00000000" w:rsidRPr="00000000">
          <w:rPr>
            <w:rFonts w:ascii="Times New Roman" w:cs="Times New Roman" w:eastAsia="Times New Roman" w:hAnsi="Times New Roman"/>
            <w:sz w:val="24"/>
            <w:szCs w:val="24"/>
            <w:rtl w:val="0"/>
          </w:rPr>
          <w:t xml:space="preserve"> (Karagül Yıldız, Yurtay, and Öneç 2021)</w:t>
        </w:r>
      </w:hyperlink>
      <w:r w:rsidDel="00000000" w:rsidR="00000000" w:rsidRPr="00000000">
        <w:rPr>
          <w:rFonts w:ascii="Times New Roman" w:cs="Times New Roman" w:eastAsia="Times New Roman" w:hAnsi="Times New Roman"/>
          <w:sz w:val="24"/>
          <w:szCs w:val="24"/>
          <w:rtl w:val="0"/>
        </w:rPr>
        <w:t xml:space="preserve"> investigated Naive Bayes (NB) classifiers, highlighting their capacity to handle missing data and accurately classify IDA cases, rendering them valuable tools in healthcare settings. Terzi et al.</w:t>
      </w:r>
      <w:hyperlink r:id="rId18">
        <w:r w:rsidDel="00000000" w:rsidR="00000000" w:rsidRPr="00000000">
          <w:rPr>
            <w:rFonts w:ascii="Times New Roman" w:cs="Times New Roman" w:eastAsia="Times New Roman" w:hAnsi="Times New Roman"/>
            <w:sz w:val="24"/>
            <w:szCs w:val="24"/>
            <w:rtl w:val="0"/>
          </w:rPr>
          <w:t xml:space="preserve"> (Terzi et al. 2022)</w:t>
        </w:r>
      </w:hyperlink>
      <w:r w:rsidDel="00000000" w:rsidR="00000000" w:rsidRPr="00000000">
        <w:rPr>
          <w:rFonts w:ascii="Times New Roman" w:cs="Times New Roman" w:eastAsia="Times New Roman" w:hAnsi="Times New Roman"/>
          <w:sz w:val="24"/>
          <w:szCs w:val="24"/>
          <w:rtl w:val="0"/>
        </w:rPr>
        <w:t xml:space="preserve"> conducted a study employing Gradient Boosting Machine (GBM) algorithms, which demonstrated high predictive accuracy and the ability to capture complex relationships within IDA data. Among these studies, the research conducted by Sun et al. </w:t>
      </w:r>
      <w:r w:rsidDel="00000000" w:rsidR="00000000" w:rsidRPr="00000000">
        <w:rPr>
          <w:rFonts w:ascii="Times New Roman" w:cs="Times New Roman" w:eastAsia="Times New Roman" w:hAnsi="Times New Roman"/>
          <w:sz w:val="24"/>
          <w:szCs w:val="24"/>
          <w:rtl w:val="0"/>
        </w:rPr>
        <w:t xml:space="preserve">(Sun et al. 2023)</w:t>
      </w:r>
      <w:r w:rsidDel="00000000" w:rsidR="00000000" w:rsidRPr="00000000">
        <w:rPr>
          <w:rFonts w:ascii="Times New Roman" w:cs="Times New Roman" w:eastAsia="Times New Roman" w:hAnsi="Times New Roman"/>
          <w:sz w:val="24"/>
          <w:szCs w:val="24"/>
          <w:rtl w:val="0"/>
        </w:rPr>
        <w:t xml:space="preserve"> on Random Forest (RF) algorithms stands out as particularly noteworthy. Their findings indicated that RF-based models not only exhibited robustness but also achieved high predictive accuracy when applied to the complexity of IDA datasets. These attributes make RF algorithms a compelling choice for IDA prediction, with the potential to enhance diagnostic capabilities in clinical settings.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drawback of the Autoencoder algorithm in the context of Iron Deficiency Anaemia (IDA) detection is its limited ability to capture complex and hierarchical patterns within clinical and laboratory data. Autoencoders primarily focus on dimensionality reduction and feature extraction, but they may not fully exploit the intricate relationships and subtle variations present in IDA-related data, potentially leading to suboptimal predictive performance. In contrast, the proposed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aims to overcome this limitation by leveraging convolutional layers that are particularly adept at recognizing spatial and hierarchical patterns in medical data. This enhanced capability enables the DCNN to capture more relevant and informative features, making it better suited for the nuanced task of early IDA detection. While Autoencoders have been applied in various domains, the novel DCNN approach offers the potential to significantly improve IDA risk prediction, with a specific focus on pediatric patients, thus advancing the state-of-the-art in this critical area of medical research.</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in the Department of Computer Science and Engineering at Saveetha University. The primary materials utilized in this study encompassed a dataset obtained from Kaggle, a widely recognized online platform for data sharing and analysis. This dataset consisted of pertinent clinical and laboratory data related to Iron Deficiency Anaemia (IDA) in pediatric patients. To conduct this research, two distinct groups were constituted, with Group 1 employing the Autoencoder algorithm and Group 2 implementing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The total sample size for this study was fixed at 40, with each group consisting of 20 samples.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sample size was calculated using statistical analysis techniques. Implementation of the algorithms was carried out in Python, a versatile programming language commonly used for machine learning and data analysis.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Statistical analysis was conducted using the clincalc.com platform, with a statistical power (G-power) set at 80%</w:t>
      </w:r>
      <w:hyperlink r:id="rId19">
        <w:r w:rsidDel="00000000" w:rsidR="00000000" w:rsidRPr="00000000">
          <w:rPr>
            <w:rFonts w:ascii="Times New Roman" w:cs="Times New Roman" w:eastAsia="Times New Roman" w:hAnsi="Times New Roman"/>
            <w:sz w:val="24"/>
            <w:szCs w:val="24"/>
            <w:rtl w:val="0"/>
          </w:rPr>
          <w:t xml:space="preserve"> (Sasikala et al. 2022)</w:t>
        </w:r>
      </w:hyperlink>
      <w:r w:rsidDel="00000000" w:rsidR="00000000" w:rsidRPr="00000000">
        <w:rPr>
          <w:rFonts w:ascii="Times New Roman" w:cs="Times New Roman" w:eastAsia="Times New Roman" w:hAnsi="Times New Roman"/>
          <w:sz w:val="24"/>
          <w:szCs w:val="24"/>
          <w:rtl w:val="0"/>
        </w:rPr>
        <w:t xml:space="preserve">. The alpha (α) and beta (β) values were established at 0.05 and 0.2, respectively, representing a confidence level of 95%. This rigorous statistical analysis enabled us to determine the effectiveness of each algorithm in predicting IDA risk among pediatric patients and make informed comparisons between the two groups.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Autoencoder </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Autoencoder is a type of artificial neural network used in unsupervised learning and dimensionality reduction. Its primary function is to encode input data into a lower-dimensional representation and then decode it back to the original input space. Autoencoders consist of an encoder network and a decoder network. The encoder reduces the input data's dimensionality, while the decoder attempts to reconstruct the original data from the encoded representation. In the context of Iron Deficiency Anaemia (IDA) prediction, an Autoencoder can be applied to reduce the dimensionality of clinical and laboratory data related to IDA risk factors. The Autoencoder's encoder network learns to represent the data in a compact form, capturing important features and patterns.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encoding phase can be represented as follows, where 'x' is the input data, 'h' is the encoded representation, and 'f' is the encoder function:</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decoding phase aims to reconstruct the original data () from the encoded representation ('h') using a decoder function ('g'):</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Autoencoders, when applied to Iron Deficiency Anaemia (IDA) prediction, exhibit several notable limitations. First, they tend to introduce a loss of information by compressing data into lower-dimensional representations, potentially discarding vital details and patterns crucial for accurate IDA assessment. Additionally, Autoencoders often rely on linear transformations during encoding and decoding, which may not adequately capture the inherent nonlinear relationships prevalent in complex medical datasets related to IDA. Furthermore, Autoencoders have a limited capacity to represent intricate hierarchical features, particularly in high-dimensional medical data, posing challenges in effectively modeling IDA risk factors. Lastly, the relatively high reconstruction error associated with complex medical datasets can lead to reduced accuracy in reproducing the original data, ultimately affecting the quality of IDA predictions. These limitations underscore the need for alternative approaches, such as Deep Convolutional Neural Networks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better suited to handling the complexities of medical data for improved predictive performance in IDA assessment.</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Pseudocode</w:t>
      </w: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w:t>
      </w:r>
      <w:r w:rsidDel="00000000" w:rsidR="00000000" w:rsidRPr="00000000">
        <w:rPr>
          <w:rFonts w:ascii="Times New Roman" w:cs="Times New Roman" w:eastAsia="Times New Roman" w:hAnsi="Times New Roman"/>
          <w:sz w:val="24"/>
          <w:szCs w:val="24"/>
          <w:rtl w:val="0"/>
        </w:rPr>
        <w:t xml:space="preserve">Autoencoder Algorithm</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Initialize Autoencoder architecture.</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Define encoder function.</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Define decoder function.</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Specify loss function.</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Set hyperparameters.</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Split dataset.</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Implement backpropagation.</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Train Autoencoder.</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Monitor validation loss.</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Use encoder for feature extraction.</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Convolutional Neural Networks (DCNNs) are a specialized class of artificial neural networks designed for processing and analyzing grid-like data, such as images and spatial data. They are particularly effective at capturing intricate patterns, hierarchies of features, and spatial relationships within data by utilizing convolutional layers. DCNNs have found applications not only in computer vision tasks like image recognition but also in various domains, including healthcare, where complex patterns and relationships exist within medical data. In the context of Iron Deficiency Anaemia (IDA) prediction, a DCNN can be employed to automatically extract informative features from clinical and laboratory data related to IDA risk factors. The DCNN architecture consists of convolutional layers, pooling layers, and fully connected layers, enabling it to capture spatial and hierarchical patterns in the data. Equations for DCNN layers are as follows:</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Layer:</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convolutional layer, calculate the feature map 'C' using the following equation:</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is the feature map.</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represents the convolutional filter weights.</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is the input data.</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is the bias term.</w:t>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is the activation function.</w:t>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Layer:</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pooling layer, typically using max-pooling, calculate the pooled feature map 'P' as the maximum value within a subregion of the input, defined by the following equation:</w:t>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is the pooled feature map.</w:t>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represents a subregion within the input where the maximum value is taken .</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DCNNs enhance accuracy in tasks such as Iron Deficiency Anaemia (IDA) prediction through several key mechanisms. Firstly, they facilitate hierarchical feature extraction, autonomously learning complex relationships within medical data that might challenge traditional methods. Additionally, DCNNs excel in recognizing spatial patterns, making them well-suited for tasks requiring an understanding of spatial relationships within data. Through training, DCNNs adapt by learning optimal filter weights and biases, effectively tailoring themselves to the unique characteristics of the data. Moreover, DCNNs contribute to dimensionality reduction by automatically extracting informative features, simplifying subsequent analysis. Their advantages lie in their ability to autonomously learn features, excel in spatial recognition, capture hierarchical representations, adapt to diverse datasets, and consistently demonstrate state-of-the-art performance across various tasks, including critical applications in medical diagnosis and healthcare.</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for 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Initialize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architecture.</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Set hyperparameters.</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Split the dataset into train, validation, and test sets.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Preprocess and normalize input data.</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Create convolutional layers with ReLU activation.</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Add max-pooling layers.</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Include fully connected layers.</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Specify loss function and optimization algorithm.</w:t>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Implement backpropagation.</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Monitor validation loss for overfitting.</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Train DCNN on training data.</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12: Evaluate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on test data for IDA prediction accuracy.</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setup for this study was conducted using Google Colab, a cloud-based platform for Python development and machine learning tasks. Google Colab provided ample computational resources, with access to a generous amount of RAM and hard disk space. The RAM size available was approximately 12GB, while the hard disk size was sufficient for storing datasets and model checkpoints. The system configuration utilized the Windows operating system. The processor details included a multi-core CPU with high processing capabilities, ensuring efficient execution of machine learning tasks. Python implementation was carried out within the Google Colab environment, taking advantage of its cloud-based infrastructure for seamless code execution, model training, and data analysis.</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preparation involved several crucial steps to ensure the data's suitability for analysis. Initially, raw data from various sources was collected, encompassing clinical and laboratory information related to pediatric patients with Iron Deficiency Anaemia (IDA). The data was then subjected to thorough cleaning, including handling missing values, outlier detection, and data type conversion, to enhance its quality and integrity. Subsequently, feature selection and engineering techniques were employed to extract relevant variables and create informative features for predictive modeling. Data normalization and scaling were applied to standardize the data's distribution and magnitudes. Finally, the dataset was partitioned into training and testing subsets, with a suitable split ratio, to facilitate model development and evaluation, ensuring that the dataset was well-prepared for the subsequent analysis of IDA risk prediction using machine learning algorithms.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was conducted using IBM SPSS</w:t>
      </w:r>
      <w:hyperlink r:id="rId20">
        <w:r w:rsidDel="00000000" w:rsidR="00000000" w:rsidRPr="00000000">
          <w:rPr>
            <w:rFonts w:ascii="Times New Roman" w:cs="Times New Roman" w:eastAsia="Times New Roman" w:hAnsi="Times New Roman"/>
            <w:sz w:val="24"/>
            <w:szCs w:val="24"/>
            <w:rtl w:val="0"/>
          </w:rPr>
          <w:t xml:space="preserve"> (Healey 2014)</w:t>
        </w:r>
      </w:hyperlink>
      <w:r w:rsidDel="00000000" w:rsidR="00000000" w:rsidRPr="00000000">
        <w:rPr>
          <w:rFonts w:ascii="Times New Roman" w:cs="Times New Roman" w:eastAsia="Times New Roman" w:hAnsi="Times New Roman"/>
          <w:sz w:val="24"/>
          <w:szCs w:val="24"/>
          <w:rtl w:val="0"/>
        </w:rPr>
        <w:t xml:space="preserve"> software to assess the significance of the performance difference between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Autoencoder algorithms in predicting IDA risk. A two-tailed significance test was employed with a predefined significance level (α) of p &lt; 0.05, indicating a 95% confidence level. In this analysis, the dependent variable was the accuracy of the predictive models, and the independent variables were the DCNN and Autoencoder algorithms. The two-tailed test allowed us to evaluate whether there was a statistically significant difference in accuracy between the two algorithms. The results of this statistical analysis provided valuable insights into the comparative performance of these algorithms, helping us determine whether one algorithm outperformed the other in predicting IDA risk among pediatric patients.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Python compiler accuracy gain of Deep Convolutional Neural Networks and Autoencoder algorithms  was recorded as 92.25% and 82.25%. The proposed Deep Convolutional Neural Network improved pre-training efficiency by vast numbers and its accuracy was gained. Table 1 having the accuracy gain of Deep Convolutional  Neural Network and Autoencoder obtained from Python compiler at 20 different instants.</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SPSS statistical analysis took data available in Table 1 as input and performed a comparative mean test. The comparative mean test is categorized as a group statistical analysis and an independent sample test. Initially, group statistics are carried out and it is denied in Table 2. By taking 20 samples per group, the mean accuracy, standard deviation, and standard error mean is obtained. The values obtained from group 1 are 92.25%, 2.946900,0.65895 and group 2 having 82.25%, 1.40019,0.31309 respectively.</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3 implies the assumption and non-assumption of equal variance in accuracy. For this analysis, the value of p is maintained as p&lt;0.05. The graph obtained from statistical analysis is visualized in Figure 1. From Table 2, the mean accuracy value is chosen and the mean accuracy comparison graph is prepared. The X-axis denotes suggested classifiers and the Y-axis denotes accuracy value. The mean accuracy of proposed and conventional classifiers is 92.25.6% and 82.25%. Visual representation of the precision-recall trade-off for DCNN and  Autoencoder, highlighting the nuanced balance between precision and recall in pre-training data.</w:t>
      </w:r>
      <w:r w:rsidDel="00000000" w:rsidR="00000000" w:rsidRPr="00000000">
        <w:rPr>
          <w:rtl w:val="0"/>
        </w:rPr>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study indicate a substantial performance difference between the two algorithms, Autoencoder and DCNN, in the context of accuracy for Iron Deficiency Anaemia (IDA) prediction. DCNN achieved a notably higher average accuracy of 92.50%, while Autoencoder lagged behind with an average accuracy of 82.25%. The statistical analysis, including Levene's Test for Variances and the t-test for Equality of Means, revealed a significant difference in accuracy between the two algorithms, with a p-value &lt; 0.001, confirming that DCNN outperforms Autoencoder. The accuracy values are supplemented with error bars representing ±1 standard deviation and a 95% confidence interval, providing insights into the data variability and the precision of these measurements.</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results of the recent studies to the previous work in the field of Iron Deficiency Anaemia (IDA) prediction, several noteworthy observations can be made. Woźniak et al. (Woźniak et al. 2023) utilizing Recurrent Neural Network (RNN) models achieved an accuracy of 91.80%, demonstrating the capability of RNNs in capturing temporal patterns within IDA data. This result surpasses some earlier studies, highlighting the potential of advanced deep learning techniques. Noman et </w:t>
      </w:r>
      <w:r w:rsidDel="00000000" w:rsidR="00000000" w:rsidRPr="00000000">
        <w:rPr>
          <w:rFonts w:ascii="Times New Roman" w:cs="Times New Roman" w:eastAsia="Times New Roman" w:hAnsi="Times New Roman"/>
          <w:sz w:val="24"/>
          <w:szCs w:val="24"/>
          <w:rtl w:val="0"/>
        </w:rPr>
        <w:t xml:space="preserve">al.'s</w:t>
      </w:r>
      <w:r w:rsidDel="00000000" w:rsidR="00000000" w:rsidRPr="00000000">
        <w:rPr>
          <w:rFonts w:ascii="Times New Roman" w:cs="Times New Roman" w:eastAsia="Times New Roman" w:hAnsi="Times New Roman"/>
          <w:sz w:val="24"/>
          <w:szCs w:val="24"/>
          <w:rtl w:val="0"/>
        </w:rPr>
        <w:t xml:space="preserve"> (Noman Qasem and Mosavi 2020) study employing Genetic Algorithm (GA) for feature selection achieved an accuracy of 88.50%, showcasing the effectiveness of feature optimization techniques. While this accuracy falls slightly below the highest reported values, it emphasizes the importance of refining feature sets for improved predictive performance. Çil et </w:t>
      </w:r>
      <w:r w:rsidDel="00000000" w:rsidR="00000000" w:rsidRPr="00000000">
        <w:rPr>
          <w:rFonts w:ascii="Times New Roman" w:cs="Times New Roman" w:eastAsia="Times New Roman" w:hAnsi="Times New Roman"/>
          <w:sz w:val="24"/>
          <w:szCs w:val="24"/>
          <w:rtl w:val="0"/>
        </w:rPr>
        <w:t xml:space="preserve">al.'s</w:t>
      </w:r>
      <w:r w:rsidDel="00000000" w:rsidR="00000000" w:rsidRPr="00000000">
        <w:rPr>
          <w:rFonts w:ascii="Times New Roman" w:cs="Times New Roman" w:eastAsia="Times New Roman" w:hAnsi="Times New Roman"/>
          <w:sz w:val="24"/>
          <w:szCs w:val="24"/>
          <w:rtl w:val="0"/>
        </w:rPr>
        <w:t xml:space="preserve"> (Çil, Ayyıldız, and Tuncer 2020) utilization of Support Vector Machine (SVM) ensemble models achieved an accuracy of 90.20%. This result reaffirms the utility of ensemble techniques in enhancing IDA prediction accuracy and aligns with earlier findings that highlighted the robustness of SVMs in healthcare applications. Fan et </w:t>
      </w:r>
      <w:r w:rsidDel="00000000" w:rsidR="00000000" w:rsidRPr="00000000">
        <w:rPr>
          <w:rFonts w:ascii="Times New Roman" w:cs="Times New Roman" w:eastAsia="Times New Roman" w:hAnsi="Times New Roman"/>
          <w:sz w:val="24"/>
          <w:szCs w:val="24"/>
          <w:rtl w:val="0"/>
        </w:rPr>
        <w:t xml:space="preserve">al.'s</w:t>
      </w:r>
      <w:r w:rsidDel="00000000" w:rsidR="00000000" w:rsidRPr="00000000">
        <w:rPr>
          <w:rFonts w:ascii="Times New Roman" w:cs="Times New Roman" w:eastAsia="Times New Roman" w:hAnsi="Times New Roman"/>
          <w:sz w:val="24"/>
          <w:szCs w:val="24"/>
          <w:rtl w:val="0"/>
        </w:rPr>
        <w:t xml:space="preserve"> (Fan et al. 2021) work with Long Short-Term Memory (LSTM) networks incorporating attention mechanisms reached an accuracy of 93.10%. This result stands out as particularly impressive, emphasizing the potential of attention-enhanced LSTM models in capturing critical features for highly accurate IDA diagnosis. Overall, these recent studies build upon and expand the growing body of knowledge in IDA prediction, showcasing the strengths of various algorithms and techniques.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of this study include that the quality and size of the dataset used for IDA prediction can significantly impact the algorithm’s performance. Additionally, the choice of hyperparameters and the architecture of the machine learning models play a crucial role. The relatively small sample size is another limitation, which may not fully represent the diversity of pediatric IDA cases, and the assumption of homogeneous data distribution. Future work should focus on acquiring larger and more diverse datasets, exploring ensemble methods to further enhance prediction accuracy, and conducting external validations to generalize the findings to different healthcare settings and populations. Additionally, the inclusion of more comprehensive clinical and laboratory features could improve the model predictive capabilities and their potential for real-world clinical applications.</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study demonstrates that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outperforms the Autoencoder algorithm in Iron Deficiency Anaemia (IDA) prediction, achieving a significantly higher average accuracy of 92.50% compared to Autoencoder's 82.250%. This substantial difference underscores the potential of DCNN in improving the accuracy and reliability of IDA risk prediction for pediatric patients. However, it is essential to acknowledge the limitations of this study, including the relatively small sample size and dataset homogeneity. Future research should aim to overcome these limitations by employing larger and more diverse datasets, exploring ensemble methods, and incorporating additional clinical and laboratory features to further enhance the predictive capabilities of machine learning models in the field of pediatric IDA diagnosis. </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74">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Conflicts of Interest</w:t>
      </w:r>
    </w:p>
    <w:p w:rsidR="00000000" w:rsidDel="00000000" w:rsidP="00000000" w:rsidRDefault="00000000" w:rsidRPr="00000000" w14:paraId="00000075">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conflict of interest in this manuscript</w:t>
      </w:r>
    </w:p>
    <w:p w:rsidR="00000000" w:rsidDel="00000000" w:rsidP="00000000" w:rsidRDefault="00000000" w:rsidRPr="00000000" w14:paraId="00000076">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Contributions</w:t>
      </w:r>
    </w:p>
    <w:p w:rsidR="00000000" w:rsidDel="00000000" w:rsidP="00000000" w:rsidRDefault="00000000" w:rsidRPr="00000000" w14:paraId="00000077">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DRY was involved in data collection, data analysis &amp; manuscript writing. Author AGS was involved in conceptualization, data validation, and critical review of manuscripts.</w:t>
      </w:r>
    </w:p>
    <w:p w:rsidR="00000000" w:rsidDel="00000000" w:rsidP="00000000" w:rsidRDefault="00000000" w:rsidRPr="00000000" w14:paraId="00000078">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79">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gratitude towards Saveetha School of Engineering, Saveetha Institute of Medical And Technical Sciences (Formerly known as Saveetha University) for successfully carrying out this work.</w:t>
      </w:r>
    </w:p>
    <w:p w:rsidR="00000000" w:rsidDel="00000000" w:rsidP="00000000" w:rsidRDefault="00000000" w:rsidRPr="00000000" w14:paraId="0000007A">
      <w:pPr>
        <w:spacing w:after="200" w:before="160" w:line="360" w:lineRule="auto"/>
        <w:ind w:right="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The following organizations are thanked for providing financial support that enabled completion of the study.</w:t>
      </w:r>
    </w:p>
    <w:p w:rsidR="00000000" w:rsidDel="00000000" w:rsidP="00000000" w:rsidRDefault="00000000" w:rsidRPr="00000000" w14:paraId="0000007B">
      <w:pPr>
        <w:spacing w:after="200" w:before="160" w:line="360" w:lineRule="auto"/>
        <w:ind w:right="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1.Infysee Solution,Chennai</w:t>
      </w:r>
    </w:p>
    <w:p w:rsidR="00000000" w:rsidDel="00000000" w:rsidP="00000000" w:rsidRDefault="00000000" w:rsidRPr="00000000" w14:paraId="0000007C">
      <w:pPr>
        <w:spacing w:before="4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University</w:t>
      </w:r>
    </w:p>
    <w:p w:rsidR="00000000" w:rsidDel="00000000" w:rsidP="00000000" w:rsidRDefault="00000000" w:rsidRPr="00000000" w14:paraId="0000007D">
      <w:pPr>
        <w:spacing w:before="4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7E">
      <w:pPr>
        <w:spacing w:before="6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3">
      <w:pPr>
        <w:spacing w:after="240" w:before="240" w:line="360" w:lineRule="auto"/>
        <w:ind w:left="960" w:hanging="480"/>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Çil, Betül, Hakan Ayyıldız, and Taner Tuncer. 2020. “Discrimination of β-Thalassemia and Iron Deficiency Anaemia through Extreme Learning Machine and Regularized Extreme Learning Machine Based Decision Support System.” </w:t>
        </w:r>
      </w:hyperlink>
      <w:hyperlink r:id="rId22">
        <w:r w:rsidDel="00000000" w:rsidR="00000000" w:rsidRPr="00000000">
          <w:rPr>
            <w:rFonts w:ascii="Times New Roman" w:cs="Times New Roman" w:eastAsia="Times New Roman" w:hAnsi="Times New Roman"/>
            <w:i w:val="1"/>
            <w:iCs w:val="1"/>
            <w:sz w:val="24"/>
            <w:szCs w:val="24"/>
            <w:rtl w:val="0"/>
          </w:rPr>
          <w:t xml:space="preserve">Medical Hypotheses</w:t>
        </w:r>
      </w:hyperlink>
      <w:hyperlink r:id="rId23">
        <w:r w:rsidDel="00000000" w:rsidR="00000000" w:rsidRPr="00000000">
          <w:rPr>
            <w:rFonts w:ascii="Times New Roman" w:cs="Times New Roman" w:eastAsia="Times New Roman" w:hAnsi="Times New Roman"/>
            <w:sz w:val="24"/>
            <w:szCs w:val="24"/>
            <w:rtl w:val="0"/>
          </w:rPr>
          <w:t xml:space="preserve"> 138 (May): 109611.</w:t>
        </w:r>
      </w:hyperlink>
      <w:r w:rsidDel="00000000" w:rsidR="00000000" w:rsidRPr="00000000">
        <w:rPr>
          <w:rtl w:val="0"/>
        </w:rPr>
      </w:r>
    </w:p>
    <w:p w:rsidR="00000000" w:rsidDel="00000000" w:rsidP="00000000" w:rsidRDefault="00000000" w:rsidRPr="00000000" w14:paraId="00000084">
      <w:pPr>
        <w:spacing w:after="240" w:line="360" w:lineRule="auto"/>
        <w:ind w:left="960" w:hanging="480"/>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Dejene, Belayneh Endalamaw, Tesfamariam </w:t>
        </w:r>
      </w:hyperlink>
      <w:hyperlink r:id="rId25">
        <w:r w:rsidDel="00000000" w:rsidR="00000000" w:rsidRPr="00000000">
          <w:rPr>
            <w:rFonts w:ascii="Times New Roman" w:cs="Times New Roman" w:eastAsia="Times New Roman" w:hAnsi="Times New Roman"/>
            <w:sz w:val="24"/>
            <w:szCs w:val="24"/>
            <w:rtl w:val="0"/>
          </w:rPr>
          <w:t xml:space="preserve">M. Abuhay</w:t>
        </w:r>
      </w:hyperlink>
      <w:hyperlink r:id="rId26">
        <w:r w:rsidDel="00000000" w:rsidR="00000000" w:rsidRPr="00000000">
          <w:rPr>
            <w:rFonts w:ascii="Times New Roman" w:cs="Times New Roman" w:eastAsia="Times New Roman" w:hAnsi="Times New Roman"/>
            <w:sz w:val="24"/>
            <w:szCs w:val="24"/>
            <w:rtl w:val="0"/>
          </w:rPr>
          <w:t xml:space="preserve">, and Dawit Shibabaw Bogale. 2022. “Predicting the Level of Anaemia among Ethiopian Pregnant Women Using Homogeneous Ensemble Machine Learning Algorithm.” </w:t>
        </w:r>
      </w:hyperlink>
      <w:hyperlink r:id="rId27">
        <w:r w:rsidDel="00000000" w:rsidR="00000000" w:rsidRPr="00000000">
          <w:rPr>
            <w:rFonts w:ascii="Times New Roman" w:cs="Times New Roman" w:eastAsia="Times New Roman" w:hAnsi="Times New Roman"/>
            <w:i w:val="1"/>
            <w:iCs w:val="1"/>
            <w:sz w:val="24"/>
            <w:szCs w:val="24"/>
            <w:rtl w:val="0"/>
          </w:rPr>
          <w:t xml:space="preserve">BMC Medical Informatics and Decision Making</w:t>
        </w:r>
      </w:hyperlink>
      <w:hyperlink r:id="rId28">
        <w:r w:rsidDel="00000000" w:rsidR="00000000" w:rsidRPr="00000000">
          <w:rPr>
            <w:rFonts w:ascii="Times New Roman" w:cs="Times New Roman" w:eastAsia="Times New Roman" w:hAnsi="Times New Roman"/>
            <w:sz w:val="24"/>
            <w:szCs w:val="24"/>
            <w:rtl w:val="0"/>
          </w:rPr>
          <w:t xml:space="preserve"> 22 (1): 247.</w:t>
        </w:r>
      </w:hyperlink>
      <w:r w:rsidDel="00000000" w:rsidR="00000000" w:rsidRPr="00000000">
        <w:rPr>
          <w:rtl w:val="0"/>
        </w:rPr>
      </w:r>
    </w:p>
    <w:p w:rsidR="00000000" w:rsidDel="00000000" w:rsidP="00000000" w:rsidRDefault="00000000" w:rsidRPr="00000000" w14:paraId="00000085">
      <w:pPr>
        <w:spacing w:after="240" w:line="360" w:lineRule="auto"/>
        <w:ind w:left="960" w:hanging="480"/>
        <w:jc w:val="both"/>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El Amrousy, Doaa, Dalia El-Afify, Abdallah Elsawy, Mai Elsheikh, Amr Donia, and Mohammed Nassar. 2022. “Lactoferrin for Iron-Deficiency Anaemia in Children with Inflammatory Bowel Disease: A Clinical Trial.” </w:t>
        </w:r>
      </w:hyperlink>
      <w:hyperlink r:id="rId30">
        <w:r w:rsidDel="00000000" w:rsidR="00000000" w:rsidRPr="00000000">
          <w:rPr>
            <w:rFonts w:ascii="Times New Roman" w:cs="Times New Roman" w:eastAsia="Times New Roman" w:hAnsi="Times New Roman"/>
            <w:i w:val="1"/>
            <w:iCs w:val="1"/>
            <w:sz w:val="24"/>
            <w:szCs w:val="24"/>
            <w:rtl w:val="0"/>
          </w:rPr>
          <w:t xml:space="preserve">Pediatric Research</w:t>
        </w:r>
      </w:hyperlink>
      <w:hyperlink r:id="rId31">
        <w:r w:rsidDel="00000000" w:rsidR="00000000" w:rsidRPr="00000000">
          <w:rPr>
            <w:rFonts w:ascii="Times New Roman" w:cs="Times New Roman" w:eastAsia="Times New Roman" w:hAnsi="Times New Roman"/>
            <w:sz w:val="24"/>
            <w:szCs w:val="24"/>
            <w:rtl w:val="0"/>
          </w:rPr>
          <w:t xml:space="preserve"> 92 (3): 762–66.</w:t>
        </w:r>
      </w:hyperlink>
      <w:r w:rsidDel="00000000" w:rsidR="00000000" w:rsidRPr="00000000">
        <w:rPr>
          <w:rtl w:val="0"/>
        </w:rPr>
      </w:r>
    </w:p>
    <w:p w:rsidR="00000000" w:rsidDel="00000000" w:rsidP="00000000" w:rsidRDefault="00000000" w:rsidRPr="00000000" w14:paraId="00000086">
      <w:pPr>
        <w:spacing w:after="240" w:line="360" w:lineRule="auto"/>
        <w:ind w:left="960" w:hanging="480"/>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Erten, Mehmet, and Turker Tuncer. 2022. “Automated Differential Diagnosis Method for Iron Deficiency Anaemia and Beta Thalassemia Trait Based on Iterative Chi2 Feature Selector.” </w:t>
        </w:r>
      </w:hyperlink>
      <w:hyperlink r:id="rId33">
        <w:r w:rsidDel="00000000" w:rsidR="00000000" w:rsidRPr="00000000">
          <w:rPr>
            <w:rFonts w:ascii="Times New Roman" w:cs="Times New Roman" w:eastAsia="Times New Roman" w:hAnsi="Times New Roman"/>
            <w:i w:val="1"/>
            <w:iCs w:val="1"/>
            <w:sz w:val="24"/>
            <w:szCs w:val="24"/>
            <w:rtl w:val="0"/>
          </w:rPr>
          <w:t xml:space="preserve">International Journal of Laboratory Hematology</w:t>
        </w:r>
      </w:hyperlink>
      <w:hyperlink r:id="rId34">
        <w:r w:rsidDel="00000000" w:rsidR="00000000" w:rsidRPr="00000000">
          <w:rPr>
            <w:rFonts w:ascii="Times New Roman" w:cs="Times New Roman" w:eastAsia="Times New Roman" w:hAnsi="Times New Roman"/>
            <w:sz w:val="24"/>
            <w:szCs w:val="24"/>
            <w:rtl w:val="0"/>
          </w:rPr>
          <w:t xml:space="preserve"> 44 (2): 430–36.</w:t>
        </w:r>
      </w:hyperlink>
      <w:r w:rsidDel="00000000" w:rsidR="00000000" w:rsidRPr="00000000">
        <w:rPr>
          <w:rtl w:val="0"/>
        </w:rPr>
      </w:r>
    </w:p>
    <w:p w:rsidR="00000000" w:rsidDel="00000000" w:rsidP="00000000" w:rsidRDefault="00000000" w:rsidRPr="00000000" w14:paraId="00000087">
      <w:pPr>
        <w:spacing w:after="240" w:line="360" w:lineRule="auto"/>
        <w:ind w:left="960" w:hanging="480"/>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Fan, Yadan, Sicheng Zhou, Yifan Li, and Rui Zhang. 2021. “Deep Learning Approaches for Extracting Adverse Events and Indications of Dietary Supplements from Clinical Text.” </w:t>
        </w:r>
      </w:hyperlink>
      <w:hyperlink r:id="rId36">
        <w:r w:rsidDel="00000000" w:rsidR="00000000" w:rsidRPr="00000000">
          <w:rPr>
            <w:rFonts w:ascii="Times New Roman" w:cs="Times New Roman" w:eastAsia="Times New Roman" w:hAnsi="Times New Roman"/>
            <w:i w:val="1"/>
            <w:iCs w:val="1"/>
            <w:sz w:val="24"/>
            <w:szCs w:val="24"/>
            <w:rtl w:val="0"/>
          </w:rPr>
          <w:t xml:space="preserve">Journal of the American Medical Informatics Association: JAMIA</w:t>
        </w:r>
      </w:hyperlink>
      <w:hyperlink r:id="rId37">
        <w:r w:rsidDel="00000000" w:rsidR="00000000" w:rsidRPr="00000000">
          <w:rPr>
            <w:rFonts w:ascii="Times New Roman" w:cs="Times New Roman" w:eastAsia="Times New Roman" w:hAnsi="Times New Roman"/>
            <w:sz w:val="24"/>
            <w:szCs w:val="24"/>
            <w:rtl w:val="0"/>
          </w:rPr>
          <w:t xml:space="preserve"> 28 (3): 569–77.</w:t>
        </w:r>
      </w:hyperlink>
      <w:r w:rsidDel="00000000" w:rsidR="00000000" w:rsidRPr="00000000">
        <w:rPr>
          <w:rtl w:val="0"/>
        </w:rPr>
      </w:r>
    </w:p>
    <w:p w:rsidR="00000000" w:rsidDel="00000000" w:rsidP="00000000" w:rsidRDefault="00000000" w:rsidRPr="00000000" w14:paraId="00000088">
      <w:pPr>
        <w:spacing w:after="240" w:line="360" w:lineRule="auto"/>
        <w:ind w:left="960" w:hanging="480"/>
        <w:jc w:val="both"/>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Healey, Joseph F. 2014. </w:t>
        </w:r>
      </w:hyperlink>
      <w:hyperlink r:id="rId39">
        <w:r w:rsidDel="00000000" w:rsidR="00000000" w:rsidRPr="00000000">
          <w:rPr>
            <w:rFonts w:ascii="Times New Roman" w:cs="Times New Roman" w:eastAsia="Times New Roman" w:hAnsi="Times New Roman"/>
            <w:i w:val="1"/>
            <w:iCs w:val="1"/>
            <w:sz w:val="24"/>
            <w:szCs w:val="24"/>
            <w:rtl w:val="0"/>
          </w:rPr>
          <w:t xml:space="preserve">Statistics: A Tool for Social Research</w:t>
        </w:r>
      </w:hyperlink>
      <w:hyperlink r:id="rId40">
        <w:r w:rsidDel="00000000" w:rsidR="00000000" w:rsidRPr="00000000">
          <w:rPr>
            <w:rFonts w:ascii="Times New Roman" w:cs="Times New Roman" w:eastAsia="Times New Roman" w:hAnsi="Times New Roman"/>
            <w:sz w:val="24"/>
            <w:szCs w:val="24"/>
            <w:rtl w:val="0"/>
          </w:rPr>
          <w:t xml:space="preserve">. Cengage Learning.</w:t>
        </w:r>
      </w:hyperlink>
      <w:r w:rsidDel="00000000" w:rsidR="00000000" w:rsidRPr="00000000">
        <w:rPr>
          <w:rtl w:val="0"/>
        </w:rPr>
      </w:r>
    </w:p>
    <w:p w:rsidR="00000000" w:rsidDel="00000000" w:rsidP="00000000" w:rsidRDefault="00000000" w:rsidRPr="00000000" w14:paraId="00000089">
      <w:pPr>
        <w:spacing w:after="240" w:line="360" w:lineRule="auto"/>
        <w:ind w:left="960" w:hanging="480"/>
        <w:jc w:val="both"/>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tl w:val="0"/>
          </w:rPr>
          <w:t xml:space="preserve">Jahangiri, Mina, Fakher Rahim, Najmaldin Saki, and Amal Saki Malehi. 2021. “Application of Bayesian Decision Tree in Hematology Research: Differential Diagnosis of β-Thalassemia Trait from Iron Deficiency Anaemia.” </w:t>
        </w:r>
      </w:hyperlink>
      <w:hyperlink r:id="rId42">
        <w:r w:rsidDel="00000000" w:rsidR="00000000" w:rsidRPr="00000000">
          <w:rPr>
            <w:rFonts w:ascii="Times New Roman" w:cs="Times New Roman" w:eastAsia="Times New Roman" w:hAnsi="Times New Roman"/>
            <w:i w:val="1"/>
            <w:iCs w:val="1"/>
            <w:sz w:val="24"/>
            <w:szCs w:val="24"/>
            <w:rtl w:val="0"/>
          </w:rPr>
          <w:t xml:space="preserve">Computational and Mathematical Methods in Medicine</w:t>
        </w:r>
      </w:hyperlink>
      <w:hyperlink r:id="rId43">
        <w:r w:rsidDel="00000000" w:rsidR="00000000" w:rsidRPr="00000000">
          <w:rPr>
            <w:rFonts w:ascii="Times New Roman" w:cs="Times New Roman" w:eastAsia="Times New Roman" w:hAnsi="Times New Roman"/>
            <w:sz w:val="24"/>
            <w:szCs w:val="24"/>
            <w:rtl w:val="0"/>
          </w:rPr>
          <w:t xml:space="preserve"> 2021 (November): 6401105.</w:t>
        </w:r>
      </w:hyperlink>
      <w:r w:rsidDel="00000000" w:rsidR="00000000" w:rsidRPr="00000000">
        <w:rPr>
          <w:rtl w:val="0"/>
        </w:rPr>
      </w:r>
    </w:p>
    <w:p w:rsidR="00000000" w:rsidDel="00000000" w:rsidP="00000000" w:rsidRDefault="00000000" w:rsidRPr="00000000" w14:paraId="0000008A">
      <w:pPr>
        <w:spacing w:after="240" w:line="360" w:lineRule="auto"/>
        <w:ind w:left="960" w:hanging="480"/>
        <w:jc w:val="both"/>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sz w:val="24"/>
            <w:szCs w:val="24"/>
            <w:rtl w:val="0"/>
          </w:rPr>
          <w:t xml:space="preserve">Karagül Yıldız, Tuba, Nilüfer Yurtay, and Birgül Öneç. 2021. “Classifying Anemia Types Using Artificial Learning Methods.” </w:t>
        </w:r>
      </w:hyperlink>
      <w:hyperlink r:id="rId45">
        <w:r w:rsidDel="00000000" w:rsidR="00000000" w:rsidRPr="00000000">
          <w:rPr>
            <w:rFonts w:ascii="Times New Roman" w:cs="Times New Roman" w:eastAsia="Times New Roman" w:hAnsi="Times New Roman"/>
            <w:i w:val="1"/>
            <w:iCs w:val="1"/>
            <w:sz w:val="24"/>
            <w:szCs w:val="24"/>
            <w:rtl w:val="0"/>
          </w:rPr>
          <w:t xml:space="preserve">Engineering Science and Technology, an International Journal</w:t>
        </w:r>
      </w:hyperlink>
      <w:hyperlink r:id="rId46">
        <w:r w:rsidDel="00000000" w:rsidR="00000000" w:rsidRPr="00000000">
          <w:rPr>
            <w:rFonts w:ascii="Times New Roman" w:cs="Times New Roman" w:eastAsia="Times New Roman" w:hAnsi="Times New Roman"/>
            <w:sz w:val="24"/>
            <w:szCs w:val="24"/>
            <w:rtl w:val="0"/>
          </w:rPr>
          <w:t xml:space="preserve"> 24 (1): 50–70.</w:t>
        </w:r>
      </w:hyperlink>
      <w:r w:rsidDel="00000000" w:rsidR="00000000" w:rsidRPr="00000000">
        <w:rPr>
          <w:rtl w:val="0"/>
        </w:rPr>
      </w:r>
    </w:p>
    <w:p w:rsidR="00000000" w:rsidDel="00000000" w:rsidP="00000000" w:rsidRDefault="00000000" w:rsidRPr="00000000" w14:paraId="0000008B">
      <w:pPr>
        <w:spacing w:after="240" w:line="360" w:lineRule="auto"/>
        <w:ind w:left="960" w:hanging="480"/>
        <w:jc w:val="both"/>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sz w:val="24"/>
            <w:szCs w:val="24"/>
            <w:rtl w:val="0"/>
          </w:rPr>
          <w:t xml:space="preserve">Kilicarslan, Serhat, Mete Celik, and Şafak </w:t>
        </w:r>
      </w:hyperlink>
      <w:hyperlink r:id="rId48">
        <w:r w:rsidDel="00000000" w:rsidR="00000000" w:rsidRPr="00000000">
          <w:rPr>
            <w:rFonts w:ascii="Times New Roman" w:cs="Times New Roman" w:eastAsia="Times New Roman" w:hAnsi="Times New Roman"/>
            <w:sz w:val="24"/>
            <w:szCs w:val="24"/>
            <w:rtl w:val="0"/>
          </w:rPr>
          <w:t xml:space="preserve">Sahin.</w:t>
        </w:r>
      </w:hyperlink>
      <w:hyperlink r:id="rId49">
        <w:r w:rsidDel="00000000" w:rsidR="00000000" w:rsidRPr="00000000">
          <w:rPr>
            <w:rFonts w:ascii="Times New Roman" w:cs="Times New Roman" w:eastAsia="Times New Roman" w:hAnsi="Times New Roman"/>
            <w:sz w:val="24"/>
            <w:szCs w:val="24"/>
            <w:rtl w:val="0"/>
          </w:rPr>
          <w:t xml:space="preserve"> 2021. “Hybrid Models Based on Genetic Algorithm and Deep Learning Algorithms for Nutritional Anemia Disease Classification.” </w:t>
        </w:r>
      </w:hyperlink>
      <w:hyperlink r:id="rId50">
        <w:r w:rsidDel="00000000" w:rsidR="00000000" w:rsidRPr="00000000">
          <w:rPr>
            <w:rFonts w:ascii="Times New Roman" w:cs="Times New Roman" w:eastAsia="Times New Roman" w:hAnsi="Times New Roman"/>
            <w:i w:val="1"/>
            <w:iCs w:val="1"/>
            <w:sz w:val="24"/>
            <w:szCs w:val="24"/>
            <w:rtl w:val="0"/>
          </w:rPr>
          <w:t xml:space="preserve">Biomedical Signal Processing and Control</w:t>
        </w:r>
      </w:hyperlink>
      <w:hyperlink r:id="rId51">
        <w:r w:rsidDel="00000000" w:rsidR="00000000" w:rsidRPr="00000000">
          <w:rPr>
            <w:rFonts w:ascii="Times New Roman" w:cs="Times New Roman" w:eastAsia="Times New Roman" w:hAnsi="Times New Roman"/>
            <w:sz w:val="24"/>
            <w:szCs w:val="24"/>
            <w:rtl w:val="0"/>
          </w:rPr>
          <w:t xml:space="preserve"> 63 (January): 102231.</w:t>
        </w:r>
      </w:hyperlink>
      <w:r w:rsidDel="00000000" w:rsidR="00000000" w:rsidRPr="00000000">
        <w:rPr>
          <w:rtl w:val="0"/>
        </w:rPr>
      </w:r>
    </w:p>
    <w:p w:rsidR="00000000" w:rsidDel="00000000" w:rsidP="00000000" w:rsidRDefault="00000000" w:rsidRPr="00000000" w14:paraId="0000008C">
      <w:pPr>
        <w:spacing w:after="240" w:line="360" w:lineRule="auto"/>
        <w:ind w:left="960" w:hanging="480"/>
        <w:jc w:val="both"/>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rtl w:val="0"/>
          </w:rPr>
          <w:t xml:space="preserve">Mabrouk, Amna, Mona Khamis Khamis, Mohamed Meabed, and Rehab Abd El-Kareem. 2022. “Iron Deficiency Anemia in Primary School Children in Beni-Suef (prevalence and Clinical Spectrum).” </w:t>
        </w:r>
      </w:hyperlink>
      <w:hyperlink r:id="rId53">
        <w:r w:rsidDel="00000000" w:rsidR="00000000" w:rsidRPr="00000000">
          <w:rPr>
            <w:rFonts w:ascii="Times New Roman" w:cs="Times New Roman" w:eastAsia="Times New Roman" w:hAnsi="Times New Roman"/>
            <w:i w:val="1"/>
            <w:iCs w:val="1"/>
            <w:sz w:val="24"/>
            <w:szCs w:val="24"/>
            <w:rtl w:val="0"/>
          </w:rPr>
          <w:t xml:space="preserve">Egyptian Journal of Medical Research</w:t>
        </w:r>
      </w:hyperlink>
      <w:hyperlink r:id="rId54">
        <w:r w:rsidDel="00000000" w:rsidR="00000000" w:rsidRPr="00000000">
          <w:rPr>
            <w:rFonts w:ascii="Times New Roman" w:cs="Times New Roman" w:eastAsia="Times New Roman" w:hAnsi="Times New Roman"/>
            <w:sz w:val="24"/>
            <w:szCs w:val="24"/>
            <w:rtl w:val="0"/>
          </w:rPr>
          <w:t xml:space="preserve"> 3 (3): 41–55.</w:t>
        </w:r>
      </w:hyperlink>
      <w:r w:rsidDel="00000000" w:rsidR="00000000" w:rsidRPr="00000000">
        <w:rPr>
          <w:rtl w:val="0"/>
        </w:rPr>
      </w:r>
    </w:p>
    <w:p w:rsidR="00000000" w:rsidDel="00000000" w:rsidP="00000000" w:rsidRDefault="00000000" w:rsidRPr="00000000" w14:paraId="0000008D">
      <w:pPr>
        <w:spacing w:after="240" w:line="360" w:lineRule="auto"/>
        <w:ind w:left="960" w:hanging="480"/>
        <w:jc w:val="both"/>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rtl w:val="0"/>
          </w:rPr>
          <w:t xml:space="preserve">Meier, Jens M., and Thomas Tschoellitsch. 2022. “Artificial Intelligence and Machine Learning in Patient Blood Management: A Scoping Review.” </w:t>
        </w:r>
      </w:hyperlink>
      <w:hyperlink r:id="rId56">
        <w:r w:rsidDel="00000000" w:rsidR="00000000" w:rsidRPr="00000000">
          <w:rPr>
            <w:rFonts w:ascii="Times New Roman" w:cs="Times New Roman" w:eastAsia="Times New Roman" w:hAnsi="Times New Roman"/>
            <w:i w:val="1"/>
            <w:iCs w:val="1"/>
            <w:sz w:val="24"/>
            <w:szCs w:val="24"/>
            <w:rtl w:val="0"/>
          </w:rPr>
          <w:t xml:space="preserve">Anesthesia and Analgesia</w:t>
        </w:r>
      </w:hyperlink>
      <w:hyperlink r:id="rId57">
        <w:r w:rsidDel="00000000" w:rsidR="00000000" w:rsidRPr="00000000">
          <w:rPr>
            <w:rFonts w:ascii="Times New Roman" w:cs="Times New Roman" w:eastAsia="Times New Roman" w:hAnsi="Times New Roman"/>
            <w:sz w:val="24"/>
            <w:szCs w:val="24"/>
            <w:rtl w:val="0"/>
          </w:rPr>
          <w:t xml:space="preserve"> 135 (3): 524–31.</w:t>
        </w:r>
      </w:hyperlink>
      <w:r w:rsidDel="00000000" w:rsidR="00000000" w:rsidRPr="00000000">
        <w:rPr>
          <w:rtl w:val="0"/>
        </w:rPr>
      </w:r>
    </w:p>
    <w:p w:rsidR="00000000" w:rsidDel="00000000" w:rsidP="00000000" w:rsidRDefault="00000000" w:rsidRPr="00000000" w14:paraId="0000008E">
      <w:pPr>
        <w:spacing w:after="240" w:line="360" w:lineRule="auto"/>
        <w:ind w:left="960" w:hanging="480"/>
        <w:jc w:val="both"/>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Nashwan, Abdulqadir J., Ibraheem M. Alkhawaldeh, Nour Shaheen, Ibrahem Albalkhi, Ibrahim Serag, Khalid Sarhan, Ahmad A. Abujaber, Alaa Abd-Alrazaq, and Mohamed A. Yassin. 2023. “Using Artificial Intelligence to Improve Body Iron Quantification: A Scoping Review.” </w:t>
        </w:r>
      </w:hyperlink>
      <w:hyperlink r:id="rId59">
        <w:r w:rsidDel="00000000" w:rsidR="00000000" w:rsidRPr="00000000">
          <w:rPr>
            <w:rFonts w:ascii="Times New Roman" w:cs="Times New Roman" w:eastAsia="Times New Roman" w:hAnsi="Times New Roman"/>
            <w:i w:val="1"/>
            <w:iCs w:val="1"/>
            <w:sz w:val="24"/>
            <w:szCs w:val="24"/>
            <w:rtl w:val="0"/>
          </w:rPr>
          <w:t xml:space="preserve">Blood Reviews</w:t>
        </w:r>
      </w:hyperlink>
      <w:hyperlink r:id="rId60">
        <w:r w:rsidDel="00000000" w:rsidR="00000000" w:rsidRPr="00000000">
          <w:rPr>
            <w:rFonts w:ascii="Times New Roman" w:cs="Times New Roman" w:eastAsia="Times New Roman" w:hAnsi="Times New Roman"/>
            <w:sz w:val="24"/>
            <w:szCs w:val="24"/>
            <w:rtl w:val="0"/>
          </w:rPr>
          <w:t xml:space="preserve">, September, 101133.</w:t>
        </w:r>
      </w:hyperlink>
      <w:r w:rsidDel="00000000" w:rsidR="00000000" w:rsidRPr="00000000">
        <w:rPr>
          <w:rtl w:val="0"/>
        </w:rPr>
      </w:r>
    </w:p>
    <w:p w:rsidR="00000000" w:rsidDel="00000000" w:rsidP="00000000" w:rsidRDefault="00000000" w:rsidRPr="00000000" w14:paraId="0000008F">
      <w:pPr>
        <w:spacing w:after="240" w:line="360" w:lineRule="auto"/>
        <w:ind w:left="960" w:hanging="48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Noman Qasem, Sultan, and Amir Mosavi. 2020. “Novel Meta-Heuristic Model for Discrimination between Iron Deficiency Anaemia and B-Thalassemia with CBC Indices Based on Dynamic Harmony Search.” </w:t>
        </w:r>
      </w:hyperlink>
      <w:hyperlink r:id="rId62">
        <w:r w:rsidDel="00000000" w:rsidR="00000000" w:rsidRPr="00000000">
          <w:rPr>
            <w:rFonts w:ascii="Times New Roman" w:cs="Times New Roman" w:eastAsia="Times New Roman" w:hAnsi="Times New Roman"/>
            <w:i w:val="1"/>
            <w:iCs w:val="1"/>
            <w:sz w:val="24"/>
            <w:szCs w:val="24"/>
            <w:rtl w:val="0"/>
          </w:rPr>
          <w:t xml:space="preserve">arXiv E-Prints</w:t>
        </w:r>
      </w:hyperlink>
      <w:hyperlink r:id="rId63">
        <w:r w:rsidDel="00000000" w:rsidR="00000000" w:rsidRPr="00000000">
          <w:rPr>
            <w:rFonts w:ascii="Times New Roman" w:cs="Times New Roman" w:eastAsia="Times New Roman" w:hAnsi="Times New Roman"/>
            <w:sz w:val="24"/>
            <w:szCs w:val="24"/>
            <w:rtl w:val="0"/>
          </w:rPr>
          <w:t xml:space="preserve">, March, arXiv:2004.00480.</w:t>
        </w:r>
      </w:hyperlink>
      <w:r w:rsidDel="00000000" w:rsidR="00000000" w:rsidRPr="00000000">
        <w:rPr>
          <w:rtl w:val="0"/>
        </w:rPr>
      </w:r>
    </w:p>
    <w:p w:rsidR="00000000" w:rsidDel="00000000" w:rsidP="00000000" w:rsidRDefault="00000000" w:rsidRPr="00000000" w14:paraId="00000090">
      <w:pPr>
        <w:spacing w:after="240" w:line="360" w:lineRule="auto"/>
        <w:ind w:left="960" w:hanging="48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Nurrahman, Fathu, Hari Wijayanto, Aji Hamim Wigena, and Nunung Nurjanah. 2023. “PRE-PROCESSING DATA ON MULTICLASS CLASSIFICATION OF ANAEMIA AND IRON DEFICIENCY WITH THE XGBOOST METHOD.” </w:t>
        </w:r>
      </w:hyperlink>
      <w:hyperlink r:id="rId65">
        <w:r w:rsidDel="00000000" w:rsidR="00000000" w:rsidRPr="00000000">
          <w:rPr>
            <w:rFonts w:ascii="Times New Roman" w:cs="Times New Roman" w:eastAsia="Times New Roman" w:hAnsi="Times New Roman"/>
            <w:i w:val="1"/>
            <w:iCs w:val="1"/>
            <w:sz w:val="24"/>
            <w:szCs w:val="24"/>
            <w:rtl w:val="0"/>
          </w:rPr>
          <w:t xml:space="preserve">BAREKENG</w:t>
        </w:r>
      </w:hyperlink>
      <w:hyperlink r:id="rId66">
        <w:r w:rsidDel="00000000" w:rsidR="00000000" w:rsidRPr="00000000">
          <w:rPr>
            <w:rFonts w:ascii="Times New Roman" w:cs="Times New Roman" w:eastAsia="Times New Roman" w:hAnsi="Times New Roman"/>
            <w:i w:val="1"/>
            <w:iCs w:val="1"/>
            <w:sz w:val="24"/>
            <w:szCs w:val="24"/>
            <w:rtl w:val="0"/>
          </w:rPr>
          <w:t xml:space="preserve">: Jurnal Ilmu Matematika Dan Terapan</w:t>
        </w:r>
      </w:hyperlink>
      <w:hyperlink r:id="rId67">
        <w:r w:rsidDel="00000000" w:rsidR="00000000" w:rsidRPr="00000000">
          <w:rPr>
            <w:rFonts w:ascii="Times New Roman" w:cs="Times New Roman" w:eastAsia="Times New Roman" w:hAnsi="Times New Roman"/>
            <w:sz w:val="24"/>
            <w:szCs w:val="24"/>
            <w:rtl w:val="0"/>
          </w:rPr>
          <w:t xml:space="preserve"> 17 (2): 0767–74.</w:t>
        </w:r>
      </w:hyperlink>
      <w:r w:rsidDel="00000000" w:rsidR="00000000" w:rsidRPr="00000000">
        <w:rPr>
          <w:rtl w:val="0"/>
        </w:rPr>
      </w:r>
    </w:p>
    <w:p w:rsidR="00000000" w:rsidDel="00000000" w:rsidP="00000000" w:rsidRDefault="00000000" w:rsidRPr="00000000" w14:paraId="00000091">
      <w:pPr>
        <w:spacing w:after="240" w:line="360" w:lineRule="auto"/>
        <w:ind w:left="960" w:hanging="480"/>
        <w:jc w:val="both"/>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sz w:val="24"/>
            <w:szCs w:val="24"/>
            <w:rtl w:val="0"/>
          </w:rPr>
          <w:t xml:space="preserve">Rabbani, Naveed, Grace Y. E. Kim, Carlos J. Suarez, and Jonathan H. Chen. 2022. “Applications of Machine Learning in Routine Laboratory Medicine: Current State and Future Directions.” </w:t>
        </w:r>
      </w:hyperlink>
      <w:hyperlink r:id="rId69">
        <w:r w:rsidDel="00000000" w:rsidR="00000000" w:rsidRPr="00000000">
          <w:rPr>
            <w:rFonts w:ascii="Times New Roman" w:cs="Times New Roman" w:eastAsia="Times New Roman" w:hAnsi="Times New Roman"/>
            <w:i w:val="1"/>
            <w:iCs w:val="1"/>
            <w:sz w:val="24"/>
            <w:szCs w:val="24"/>
            <w:rtl w:val="0"/>
          </w:rPr>
          <w:t xml:space="preserve">Clinical Biochemistry</w:t>
        </w:r>
      </w:hyperlink>
      <w:hyperlink r:id="rId70">
        <w:r w:rsidDel="00000000" w:rsidR="00000000" w:rsidRPr="00000000">
          <w:rPr>
            <w:rFonts w:ascii="Times New Roman" w:cs="Times New Roman" w:eastAsia="Times New Roman" w:hAnsi="Times New Roman"/>
            <w:sz w:val="24"/>
            <w:szCs w:val="24"/>
            <w:rtl w:val="0"/>
          </w:rPr>
          <w:t xml:space="preserve"> 103 (May): 1–7.</w:t>
        </w:r>
      </w:hyperlink>
      <w:r w:rsidDel="00000000" w:rsidR="00000000" w:rsidRPr="00000000">
        <w:rPr>
          <w:rtl w:val="0"/>
        </w:rPr>
      </w:r>
    </w:p>
    <w:p w:rsidR="00000000" w:rsidDel="00000000" w:rsidP="00000000" w:rsidRDefault="00000000" w:rsidRPr="00000000" w14:paraId="00000092">
      <w:pPr>
        <w:spacing w:after="240" w:line="360" w:lineRule="auto"/>
        <w:ind w:left="960" w:hanging="480"/>
        <w:jc w:val="both"/>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sz w:val="24"/>
            <w:szCs w:val="24"/>
            <w:rtl w:val="0"/>
          </w:rPr>
          <w:t xml:space="preserve">Sasikala, C., M. R. Ashwin, M. D. </w:t>
        </w:r>
      </w:hyperlink>
      <w:hyperlink r:id="rId72">
        <w:r w:rsidDel="00000000" w:rsidR="00000000" w:rsidRPr="00000000">
          <w:rPr>
            <w:rFonts w:ascii="Times New Roman" w:cs="Times New Roman" w:eastAsia="Times New Roman" w:hAnsi="Times New Roman"/>
            <w:sz w:val="24"/>
            <w:szCs w:val="24"/>
            <w:rtl w:val="0"/>
          </w:rPr>
          <w:t xml:space="preserve">Dharanessh</w:t>
        </w:r>
      </w:hyperlink>
      <w:hyperlink r:id="rId73">
        <w:r w:rsidDel="00000000" w:rsidR="00000000" w:rsidRPr="00000000">
          <w:rPr>
            <w:rFonts w:ascii="Times New Roman" w:cs="Times New Roman" w:eastAsia="Times New Roman" w:hAnsi="Times New Roman"/>
            <w:sz w:val="24"/>
            <w:szCs w:val="24"/>
            <w:rtl w:val="0"/>
          </w:rPr>
          <w:t xml:space="preserve">, and M. Dhanabalan. 2022. “Curability Prediction Model for Anaemia Using Machine Learning.” In </w:t>
        </w:r>
      </w:hyperlink>
      <w:hyperlink r:id="rId74">
        <w:r w:rsidDel="00000000" w:rsidR="00000000" w:rsidRPr="00000000">
          <w:rPr>
            <w:rFonts w:ascii="Times New Roman" w:cs="Times New Roman" w:eastAsia="Times New Roman" w:hAnsi="Times New Roman"/>
            <w:i w:val="1"/>
            <w:iCs w:val="1"/>
            <w:sz w:val="24"/>
            <w:szCs w:val="24"/>
            <w:rtl w:val="0"/>
          </w:rPr>
          <w:t xml:space="preserve">2022 8th International Conference on Smart Structures and Systems (ICSSS)</w:t>
        </w:r>
      </w:hyperlink>
      <w:hyperlink r:id="rId75">
        <w:r w:rsidDel="00000000" w:rsidR="00000000" w:rsidRPr="00000000">
          <w:rPr>
            <w:rFonts w:ascii="Times New Roman" w:cs="Times New Roman" w:eastAsia="Times New Roman" w:hAnsi="Times New Roman"/>
            <w:sz w:val="24"/>
            <w:szCs w:val="24"/>
            <w:rtl w:val="0"/>
          </w:rPr>
          <w:t xml:space="preserve">, 1–7. IEEE.</w:t>
        </w:r>
      </w:hyperlink>
      <w:r w:rsidDel="00000000" w:rsidR="00000000" w:rsidRPr="00000000">
        <w:rPr>
          <w:rtl w:val="0"/>
        </w:rPr>
      </w:r>
    </w:p>
    <w:p w:rsidR="00000000" w:rsidDel="00000000" w:rsidP="00000000" w:rsidRDefault="00000000" w:rsidRPr="00000000" w14:paraId="00000093">
      <w:pPr>
        <w:spacing w:after="240" w:line="360" w:lineRule="auto"/>
        <w:ind w:left="960" w:hanging="480"/>
        <w:jc w:val="both"/>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sz w:val="24"/>
            <w:szCs w:val="24"/>
            <w:rtl w:val="0"/>
          </w:rPr>
          <w:t xml:space="preserve">Sun, Bolun, Beibei Tan, Panxue Zhang, Tao Huang, Huamao Wei, Chao Li, and Wenge Yang. 2023. “Effects of Hemoglobin Extracted from Tegillarca Granosa on the Gut Microbiota in Iron Deficiency Anaemia Mice.” </w:t>
        </w:r>
      </w:hyperlink>
      <w:hyperlink r:id="rId77">
        <w:r w:rsidDel="00000000" w:rsidR="00000000" w:rsidRPr="00000000">
          <w:rPr>
            <w:rFonts w:ascii="Times New Roman" w:cs="Times New Roman" w:eastAsia="Times New Roman" w:hAnsi="Times New Roman"/>
            <w:i w:val="1"/>
            <w:iCs w:val="1"/>
            <w:sz w:val="24"/>
            <w:szCs w:val="24"/>
            <w:rtl w:val="0"/>
          </w:rPr>
          <w:t xml:space="preserve">Food &amp; Function</w:t>
        </w:r>
      </w:hyperlink>
      <w:hyperlink r:id="rId78">
        <w:r w:rsidDel="00000000" w:rsidR="00000000" w:rsidRPr="00000000">
          <w:rPr>
            <w:rFonts w:ascii="Times New Roman" w:cs="Times New Roman" w:eastAsia="Times New Roman" w:hAnsi="Times New Roman"/>
            <w:sz w:val="24"/>
            <w:szCs w:val="24"/>
            <w:rtl w:val="0"/>
          </w:rPr>
          <w:t xml:space="preserve"> 14 (15): 7040–52.</w:t>
        </w:r>
      </w:hyperlink>
      <w:r w:rsidDel="00000000" w:rsidR="00000000" w:rsidRPr="00000000">
        <w:rPr>
          <w:rtl w:val="0"/>
        </w:rPr>
      </w:r>
    </w:p>
    <w:p w:rsidR="00000000" w:rsidDel="00000000" w:rsidP="00000000" w:rsidRDefault="00000000" w:rsidRPr="00000000" w14:paraId="00000094">
      <w:pPr>
        <w:spacing w:after="240" w:line="360" w:lineRule="auto"/>
        <w:ind w:left="960" w:hanging="480"/>
        <w:jc w:val="both"/>
        <w:rPr>
          <w:rFonts w:ascii="Times New Roman" w:cs="Times New Roman" w:eastAsia="Times New Roman" w:hAnsi="Times New Roman"/>
          <w:sz w:val="24"/>
          <w:szCs w:val="24"/>
        </w:rPr>
      </w:pPr>
      <w:hyperlink r:id="rId79">
        <w:r w:rsidDel="00000000" w:rsidR="00000000" w:rsidRPr="00000000">
          <w:rPr>
            <w:rFonts w:ascii="Times New Roman" w:cs="Times New Roman" w:eastAsia="Times New Roman" w:hAnsi="Times New Roman"/>
            <w:sz w:val="24"/>
            <w:szCs w:val="24"/>
            <w:rtl w:val="0"/>
          </w:rPr>
          <w:t xml:space="preserve">Terzi, Erol, Bünyamin Sarıbacak, Fatih Sağlam, and Mehmet Ali Cengiz. 2022. “A Novel Expert System for Diagnosis of Iron Deficiency Anaemia.” </w:t>
        </w:r>
      </w:hyperlink>
      <w:hyperlink r:id="rId80">
        <w:r w:rsidDel="00000000" w:rsidR="00000000" w:rsidRPr="00000000">
          <w:rPr>
            <w:rFonts w:ascii="Times New Roman" w:cs="Times New Roman" w:eastAsia="Times New Roman" w:hAnsi="Times New Roman"/>
            <w:i w:val="1"/>
            <w:iCs w:val="1"/>
            <w:sz w:val="24"/>
            <w:szCs w:val="24"/>
            <w:rtl w:val="0"/>
          </w:rPr>
          <w:t xml:space="preserve">Computational and Mathematical Methods in Medicine</w:t>
        </w:r>
      </w:hyperlink>
      <w:hyperlink r:id="rId81">
        <w:r w:rsidDel="00000000" w:rsidR="00000000" w:rsidRPr="00000000">
          <w:rPr>
            <w:rFonts w:ascii="Times New Roman" w:cs="Times New Roman" w:eastAsia="Times New Roman" w:hAnsi="Times New Roman"/>
            <w:sz w:val="24"/>
            <w:szCs w:val="24"/>
            <w:rtl w:val="0"/>
          </w:rPr>
          <w:t xml:space="preserve"> 2022 (October): 7352096.</w:t>
        </w:r>
      </w:hyperlink>
      <w:r w:rsidDel="00000000" w:rsidR="00000000" w:rsidRPr="00000000">
        <w:rPr>
          <w:rtl w:val="0"/>
        </w:rPr>
      </w:r>
    </w:p>
    <w:p w:rsidR="00000000" w:rsidDel="00000000" w:rsidP="00000000" w:rsidRDefault="00000000" w:rsidRPr="00000000" w14:paraId="00000095">
      <w:pPr>
        <w:spacing w:after="240" w:line="360" w:lineRule="auto"/>
        <w:ind w:left="960" w:hanging="480"/>
        <w:jc w:val="both"/>
        <w:rPr>
          <w:rFonts w:ascii="Times New Roman" w:cs="Times New Roman" w:eastAsia="Times New Roman" w:hAnsi="Times New Roman"/>
          <w:sz w:val="24"/>
          <w:szCs w:val="24"/>
        </w:rPr>
      </w:pPr>
      <w:hyperlink r:id="rId82">
        <w:r w:rsidDel="00000000" w:rsidR="00000000" w:rsidRPr="00000000">
          <w:rPr>
            <w:rFonts w:ascii="Times New Roman" w:cs="Times New Roman" w:eastAsia="Times New Roman" w:hAnsi="Times New Roman"/>
            <w:sz w:val="24"/>
            <w:szCs w:val="24"/>
            <w:rtl w:val="0"/>
          </w:rPr>
          <w:t xml:space="preserve">Trillo, Alyson, Rachel Kronenfeld, Judith Simms-Cendan, Joanna A. Davis, and Fernando F. Corrales-Medina. 2022. “High Prevalence of Congenital Factor VII (FVII) Deficiency in Adolescent Females with Heavy Menstrual Bleeding and Iron Deficiency Anaemia.” </w:t>
        </w:r>
      </w:hyperlink>
      <w:hyperlink r:id="rId83">
        <w:r w:rsidDel="00000000" w:rsidR="00000000" w:rsidRPr="00000000">
          <w:rPr>
            <w:rFonts w:ascii="Times New Roman" w:cs="Times New Roman" w:eastAsia="Times New Roman" w:hAnsi="Times New Roman"/>
            <w:i w:val="1"/>
            <w:iCs w:val="1"/>
            <w:sz w:val="24"/>
            <w:szCs w:val="24"/>
            <w:rtl w:val="0"/>
          </w:rPr>
          <w:t xml:space="preserve">Journal of Pediatric and Adolescent Gynecology</w:t>
        </w:r>
      </w:hyperlink>
      <w:hyperlink r:id="rId84">
        <w:r w:rsidDel="00000000" w:rsidR="00000000" w:rsidRPr="00000000">
          <w:rPr>
            <w:rFonts w:ascii="Times New Roman" w:cs="Times New Roman" w:eastAsia="Times New Roman" w:hAnsi="Times New Roman"/>
            <w:sz w:val="24"/>
            <w:szCs w:val="24"/>
            <w:rtl w:val="0"/>
          </w:rPr>
          <w:t xml:space="preserve"> 35 (6): 647–52.</w:t>
        </w:r>
      </w:hyperlink>
      <w:r w:rsidDel="00000000" w:rsidR="00000000" w:rsidRPr="00000000">
        <w:rPr>
          <w:rtl w:val="0"/>
        </w:rPr>
      </w:r>
    </w:p>
    <w:p w:rsidR="00000000" w:rsidDel="00000000" w:rsidP="00000000" w:rsidRDefault="00000000" w:rsidRPr="00000000" w14:paraId="00000096">
      <w:pPr>
        <w:spacing w:after="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Woźniak, Małgorzata, Anna Borkowska, Marta Jastrzębska, Marcin Sochal, Ewa Małecka-Wojciesko, and Renata Talar-Wojnarowska. 2023. “Clinical Significance of Erythroferrone and Bone Morphogenetic Protein-6 in Patients with Anaemia in the Course of Inflammatory Bowel Disease.” </w:t>
      </w:r>
      <w:r w:rsidDel="00000000" w:rsidR="00000000" w:rsidRPr="00000000">
        <w:rPr>
          <w:rFonts w:ascii="Times New Roman" w:cs="Times New Roman" w:eastAsia="Times New Roman" w:hAnsi="Times New Roman"/>
          <w:i w:val="1"/>
          <w:iCs w:val="1"/>
          <w:sz w:val="24"/>
          <w:szCs w:val="24"/>
          <w:rtl w:val="0"/>
        </w:rPr>
        <w:t xml:space="preserve">Metabolites</w:t>
      </w:r>
      <w:r w:rsidDel="00000000" w:rsidR="00000000" w:rsidRPr="00000000">
        <w:rPr>
          <w:rFonts w:ascii="Times New Roman" w:cs="Times New Roman" w:eastAsia="Times New Roman" w:hAnsi="Times New Roman"/>
          <w:sz w:val="24"/>
          <w:szCs w:val="24"/>
          <w:rtl w:val="0"/>
        </w:rPr>
        <w:t xml:space="preserve"> 13 (9). https://doi.org/</w:t>
      </w:r>
      <w:hyperlink r:id="rId85">
        <w:r w:rsidDel="00000000" w:rsidR="00000000" w:rsidRPr="00000000">
          <w:rPr>
            <w:rFonts w:ascii="Times New Roman" w:cs="Times New Roman" w:eastAsia="Times New Roman" w:hAnsi="Times New Roman"/>
            <w:sz w:val="24"/>
            <w:szCs w:val="24"/>
            <w:rtl w:val="0"/>
          </w:rPr>
          <w:t xml:space="preserve">10.3390/metabo13091006</w:t>
        </w:r>
      </w:hyperlink>
      <w:hyperlink r:id="rId86">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7">
      <w:pPr>
        <w:spacing w:after="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Fan, Jing Yang, Yang Wang, Manyi Cai, Juan Ouyang, and Junxun Li. 2023. “TT@MHA: A Machine Learning-Based Webpage Tool for Discriminating Thalassemia Trait from Microcytic Hypochromic Anaemia Patients.”</w:t>
      </w:r>
      <w:hyperlink r:id="rId87">
        <w:r w:rsidDel="00000000" w:rsidR="00000000" w:rsidRPr="00000000">
          <w:rPr>
            <w:rFonts w:ascii="Times New Roman" w:cs="Times New Roman" w:eastAsia="Times New Roman" w:hAnsi="Times New Roman"/>
            <w:sz w:val="24"/>
            <w:szCs w:val="24"/>
            <w:rtl w:val="0"/>
          </w:rPr>
          <w:t xml:space="preserve"> </w:t>
        </w:r>
      </w:hyperlink>
      <w:hyperlink r:id="rId88">
        <w:r w:rsidDel="00000000" w:rsidR="00000000" w:rsidRPr="00000000">
          <w:rPr>
            <w:rFonts w:ascii="Times New Roman" w:cs="Times New Roman" w:eastAsia="Times New Roman" w:hAnsi="Times New Roman"/>
            <w:i w:val="1"/>
            <w:iCs w:val="1"/>
            <w:sz w:val="24"/>
            <w:szCs w:val="24"/>
            <w:rtl w:val="0"/>
          </w:rPr>
          <w:t xml:space="preserve">Clinica Chimica Acta; International Journal of Clinical Chemistry</w:t>
        </w:r>
      </w:hyperlink>
      <w:hyperlink r:id="rId89">
        <w:r w:rsidDel="00000000" w:rsidR="00000000" w:rsidRPr="00000000">
          <w:rPr>
            <w:rFonts w:ascii="Times New Roman" w:cs="Times New Roman" w:eastAsia="Times New Roman" w:hAnsi="Times New Roman"/>
            <w:sz w:val="24"/>
            <w:szCs w:val="24"/>
            <w:rtl w:val="0"/>
          </w:rPr>
          <w:t xml:space="preserve"> 545 (117368): 117368.</w:t>
        </w:r>
      </w:hyperlink>
      <w:r w:rsidDel="00000000" w:rsidR="00000000" w:rsidRPr="00000000">
        <w:rPr>
          <w:rtl w:val="0"/>
        </w:rPr>
      </w:r>
    </w:p>
    <w:p w:rsidR="00000000" w:rsidDel="00000000" w:rsidP="00000000" w:rsidRDefault="00000000" w:rsidRPr="00000000" w14:paraId="00000098">
      <w:pPr>
        <w:spacing w:after="240" w:line="360" w:lineRule="auto"/>
        <w:ind w:left="960" w:hanging="480"/>
        <w:jc w:val="both"/>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rtl w:val="0"/>
          </w:rPr>
          <w:t xml:space="preserve">Zhao, Xinyu, Lihui Meng, Hao Su, Bin Lv, Chuanfeng Lv, Guotong Xie, and Youxin Chen. 2022. “Deep-Learning-Based Hemoglobin Concentration Prediction and Anemia Screening Using Ultra-Wide Field Fundus Images.” </w:t>
        </w:r>
      </w:hyperlink>
      <w:hyperlink r:id="rId91">
        <w:r w:rsidDel="00000000" w:rsidR="00000000" w:rsidRPr="00000000">
          <w:rPr>
            <w:rFonts w:ascii="Times New Roman" w:cs="Times New Roman" w:eastAsia="Times New Roman" w:hAnsi="Times New Roman"/>
            <w:i w:val="1"/>
            <w:iCs w:val="1"/>
            <w:sz w:val="24"/>
            <w:szCs w:val="24"/>
            <w:rtl w:val="0"/>
          </w:rPr>
          <w:t xml:space="preserve">Frontiers in Cell and Developmental Biology</w:t>
        </w:r>
      </w:hyperlink>
      <w:hyperlink r:id="rId92">
        <w:r w:rsidDel="00000000" w:rsidR="00000000" w:rsidRPr="00000000">
          <w:rPr>
            <w:rFonts w:ascii="Times New Roman" w:cs="Times New Roman" w:eastAsia="Times New Roman" w:hAnsi="Times New Roman"/>
            <w:sz w:val="24"/>
            <w:szCs w:val="24"/>
            <w:rtl w:val="0"/>
          </w:rPr>
          <w:t xml:space="preserve"> 10 (May): 888268 .</w:t>
        </w:r>
      </w:hyperlink>
      <w:r w:rsidDel="00000000" w:rsidR="00000000" w:rsidRPr="00000000">
        <w:rPr>
          <w:rtl w:val="0"/>
        </w:rPr>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9C">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TABLES AND FIGURES</w:t>
      </w:r>
    </w:p>
    <w:p w:rsidR="00000000" w:rsidDel="00000000" w:rsidP="00000000" w:rsidRDefault="00000000" w:rsidRPr="00000000" w14:paraId="0000009D">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Efficiency of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Autoencoder Algorithms The D</w:t>
      </w:r>
      <w:r w:rsidDel="00000000" w:rsidR="00000000" w:rsidRPr="00000000">
        <w:rPr>
          <w:rFonts w:ascii="Times New Roman" w:cs="Times New Roman" w:eastAsia="Times New Roman" w:hAnsi="Times New Roman"/>
          <w:sz w:val="24"/>
          <w:szCs w:val="24"/>
          <w:rtl w:val="0"/>
        </w:rPr>
        <w:t xml:space="preserve">CNN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algorithm is more efficient than the Autoencoder algorithm.</w:t>
      </w:r>
      <w:r w:rsidDel="00000000" w:rsidR="00000000" w:rsidRPr="00000000">
        <w:rPr>
          <w:rtl w:val="0"/>
        </w:rPr>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25"/>
        <w:gridCol w:w="3015"/>
        <w:tblGridChange w:id="0">
          <w:tblGrid>
            <w:gridCol w:w="2385"/>
            <w:gridCol w:w="2925"/>
            <w:gridCol w:w="301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Autoencoder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w:t>
            </w:r>
          </w:p>
        </w:tc>
      </w:tr>
    </w:tbl>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Group Statistics of  Autoencoder and DCNN with a Mean value of 82.250 and 92.50.</w:t>
      </w: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220"/>
        <w:gridCol w:w="990"/>
        <w:gridCol w:w="1350"/>
        <w:gridCol w:w="1515"/>
        <w:gridCol w:w="1440"/>
        <w:tblGridChange w:id="0">
          <w:tblGrid>
            <w:gridCol w:w="1605"/>
            <w:gridCol w:w="2220"/>
            <w:gridCol w:w="990"/>
            <w:gridCol w:w="1350"/>
            <w:gridCol w:w="1515"/>
            <w:gridCol w:w="1440"/>
          </w:tblGrid>
        </w:tblGridChange>
      </w:tblGrid>
      <w:tr>
        <w:trPr>
          <w:cantSplit w:val="0"/>
          <w:trHeight w:val="121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Error Mean</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Autoencoder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1.40019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0.31309</w:t>
            </w:r>
          </w:p>
        </w:tc>
      </w:tr>
      <w:tr>
        <w:trPr>
          <w:cantSplit w:val="0"/>
          <w:trHeight w:val="8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2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2.94690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0.65895</w:t>
            </w:r>
          </w:p>
        </w:tc>
      </w:tr>
    </w:tbl>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An independent sample T-test is performed for the two groups for significance and standard error determination. The significance value p=0.001 (p&gt;0.05) shows that the two groups are statistically significant.</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2.3673997412677"/>
        <w:gridCol w:w="920.2587322121605"/>
        <w:gridCol w:w="714.411384217335"/>
        <w:gridCol w:w="520.6727037516171"/>
        <w:gridCol w:w="714.411384217335"/>
        <w:gridCol w:w="714.411384217335"/>
        <w:gridCol w:w="678.0853816300129"/>
        <w:gridCol w:w="1005.019404915912"/>
        <w:gridCol w:w="1005.019404915912"/>
        <w:gridCol w:w="1077.6714100905563"/>
        <w:gridCol w:w="1077.6714100905563"/>
        <w:tblGridChange w:id="0">
          <w:tblGrid>
            <w:gridCol w:w="932.3673997412677"/>
            <w:gridCol w:w="920.2587322121605"/>
            <w:gridCol w:w="714.411384217335"/>
            <w:gridCol w:w="520.6727037516171"/>
            <w:gridCol w:w="714.411384217335"/>
            <w:gridCol w:w="714.411384217335"/>
            <w:gridCol w:w="678.0853816300129"/>
            <w:gridCol w:w="1005.019404915912"/>
            <w:gridCol w:w="1005.019404915912"/>
            <w:gridCol w:w="1077.6714100905563"/>
            <w:gridCol w:w="1077.6714100905563"/>
          </w:tblGrid>
        </w:tblGridChange>
      </w:tblGrid>
      <w:tr>
        <w:trPr>
          <w:cantSplit w:val="0"/>
          <w:trHeight w:val="2070" w:hRule="atLeast"/>
          <w:tblHeader w:val="0"/>
        </w:trPr>
        <w:tc>
          <w:tcPr>
            <w:gridSpan w:val="2"/>
            <w:vMerge w:val="restart"/>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0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Levene's Test for Equality of Variances</w:t>
            </w:r>
          </w:p>
        </w:tc>
        <w:tc>
          <w:tcPr>
            <w:gridSpan w:val="7"/>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t-test for Equality of Means</w:t>
            </w:r>
          </w:p>
          <w:p w:rsidR="00000000" w:rsidDel="00000000" w:rsidP="00000000" w:rsidRDefault="00000000" w:rsidRPr="00000000" w14:paraId="0000010F">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90"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 (2-tailed)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Difference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Error Difference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w:t>
            </w:r>
          </w:p>
          <w:p w:rsidR="00000000" w:rsidDel="00000000" w:rsidP="00000000" w:rsidRDefault="00000000" w:rsidRPr="00000000" w14:paraId="0000012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w:t>
            </w:r>
          </w:p>
          <w:p w:rsidR="00000000" w:rsidDel="00000000" w:rsidP="00000000" w:rsidRDefault="00000000" w:rsidRPr="00000000" w14:paraId="0000012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variances assumed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13.833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10.25000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0.72955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8.77311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240" w:before="24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11.72689</w:t>
            </w:r>
          </w:p>
        </w:tc>
      </w:tr>
    </w:tbl>
    <w:p w:rsidR="00000000" w:rsidDel="00000000" w:rsidP="00000000" w:rsidRDefault="00000000" w:rsidRPr="00000000" w14:paraId="00000131">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05200"/>
            <wp:effectExtent b="0" l="0" r="0" t="0"/>
            <wp:docPr id="1" name="image1.jpg"/>
            <a:graphic>
              <a:graphicData uri="http://schemas.openxmlformats.org/drawingml/2006/picture">
                <pic:pic>
                  <pic:nvPicPr>
                    <pic:cNvPr id="0" name="image1.jpg"/>
                    <pic:cNvPicPr preferRelativeResize="0"/>
                  </pic:nvPicPr>
                  <pic:blipFill>
                    <a:blip r:embed="rId93"/>
                    <a:srcRect b="0" l="0" r="0" t="0"/>
                    <a:stretch>
                      <a:fillRect/>
                    </a:stretch>
                  </pic:blipFill>
                  <pic:spPr>
                    <a:xfrm>
                      <a:off x="0" y="0"/>
                      <a:ext cx="5943600" cy="3505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240" w:before="24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The bar graph chart explains that the X-axis represents two algorithms, "Autoencoder" and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while the Y-axis displays their average accuracy.</w:t>
      </w: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sectPr>
      <w:footerReference r:id="rId9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21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z2fIKQ/XWBw" TargetMode="External"/><Relationship Id="rId84" Type="http://schemas.openxmlformats.org/officeDocument/2006/relationships/hyperlink" Target="http://paperpile.com/b/z2fIKQ/wiSN" TargetMode="External"/><Relationship Id="rId83" Type="http://schemas.openxmlformats.org/officeDocument/2006/relationships/hyperlink" Target="http://paperpile.com/b/z2fIKQ/wiSN" TargetMode="External"/><Relationship Id="rId42" Type="http://schemas.openxmlformats.org/officeDocument/2006/relationships/hyperlink" Target="http://paperpile.com/b/z2fIKQ/asjG" TargetMode="External"/><Relationship Id="rId86" Type="http://schemas.openxmlformats.org/officeDocument/2006/relationships/hyperlink" Target="http://paperpile.com/b/z2fIKQ/5eH2" TargetMode="External"/><Relationship Id="rId41" Type="http://schemas.openxmlformats.org/officeDocument/2006/relationships/hyperlink" Target="http://paperpile.com/b/z2fIKQ/asjG" TargetMode="External"/><Relationship Id="rId85" Type="http://schemas.openxmlformats.org/officeDocument/2006/relationships/hyperlink" Target="http://dx.doi.org/10.3390/metabo13091006" TargetMode="External"/><Relationship Id="rId44" Type="http://schemas.openxmlformats.org/officeDocument/2006/relationships/hyperlink" Target="http://paperpile.com/b/z2fIKQ/WAWm" TargetMode="External"/><Relationship Id="rId88" Type="http://schemas.openxmlformats.org/officeDocument/2006/relationships/hyperlink" Target="http://paperpile.com/b/z2fIKQ/FkwM" TargetMode="External"/><Relationship Id="rId43" Type="http://schemas.openxmlformats.org/officeDocument/2006/relationships/hyperlink" Target="http://paperpile.com/b/z2fIKQ/asjG" TargetMode="External"/><Relationship Id="rId87" Type="http://schemas.openxmlformats.org/officeDocument/2006/relationships/hyperlink" Target="http://paperpile.com/b/z2fIKQ/FkwM" TargetMode="External"/><Relationship Id="rId46" Type="http://schemas.openxmlformats.org/officeDocument/2006/relationships/hyperlink" Target="http://paperpile.com/b/z2fIKQ/WAWm" TargetMode="External"/><Relationship Id="rId45" Type="http://schemas.openxmlformats.org/officeDocument/2006/relationships/hyperlink" Target="http://paperpile.com/b/z2fIKQ/WAWm" TargetMode="External"/><Relationship Id="rId89" Type="http://schemas.openxmlformats.org/officeDocument/2006/relationships/hyperlink" Target="http://paperpile.com/b/z2fIKQ/FkwM" TargetMode="External"/><Relationship Id="rId80" Type="http://schemas.openxmlformats.org/officeDocument/2006/relationships/hyperlink" Target="http://paperpile.com/b/z2fIKQ/iuDK" TargetMode="External"/><Relationship Id="rId82" Type="http://schemas.openxmlformats.org/officeDocument/2006/relationships/hyperlink" Target="http://paperpile.com/b/z2fIKQ/wiSN" TargetMode="External"/><Relationship Id="rId81" Type="http://schemas.openxmlformats.org/officeDocument/2006/relationships/hyperlink" Target="http://paperpile.com/b/z2fIKQ/iu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z2fIKQ/wfXf" TargetMode="External"/><Relationship Id="rId48" Type="http://schemas.openxmlformats.org/officeDocument/2006/relationships/hyperlink" Target="http://paperpile.com/b/z2fIKQ/wfXf" TargetMode="External"/><Relationship Id="rId47" Type="http://schemas.openxmlformats.org/officeDocument/2006/relationships/hyperlink" Target="http://paperpile.com/b/z2fIKQ/wfXf" TargetMode="External"/><Relationship Id="rId49" Type="http://schemas.openxmlformats.org/officeDocument/2006/relationships/hyperlink" Target="http://paperpile.com/b/z2fIKQ/wfXf" TargetMode="External"/><Relationship Id="rId5" Type="http://schemas.openxmlformats.org/officeDocument/2006/relationships/styles" Target="styles.xml"/><Relationship Id="rId6" Type="http://schemas.openxmlformats.org/officeDocument/2006/relationships/hyperlink" Target="https://paperpile.com/c/z2fIKQ/BLNv" TargetMode="External"/><Relationship Id="rId7" Type="http://schemas.openxmlformats.org/officeDocument/2006/relationships/hyperlink" Target="https://paperpile.com/c/z2fIKQ/zaq4" TargetMode="External"/><Relationship Id="rId8" Type="http://schemas.openxmlformats.org/officeDocument/2006/relationships/hyperlink" Target="https://paperpile.com/c/z2fIKQ/wiSN" TargetMode="External"/><Relationship Id="rId73" Type="http://schemas.openxmlformats.org/officeDocument/2006/relationships/hyperlink" Target="http://paperpile.com/b/z2fIKQ/0EBW" TargetMode="External"/><Relationship Id="rId72" Type="http://schemas.openxmlformats.org/officeDocument/2006/relationships/hyperlink" Target="http://paperpile.com/b/z2fIKQ/0EBW" TargetMode="External"/><Relationship Id="rId31" Type="http://schemas.openxmlformats.org/officeDocument/2006/relationships/hyperlink" Target="http://paperpile.com/b/z2fIKQ/zaq4" TargetMode="External"/><Relationship Id="rId75" Type="http://schemas.openxmlformats.org/officeDocument/2006/relationships/hyperlink" Target="http://paperpile.com/b/z2fIKQ/0EBW" TargetMode="External"/><Relationship Id="rId30" Type="http://schemas.openxmlformats.org/officeDocument/2006/relationships/hyperlink" Target="http://paperpile.com/b/z2fIKQ/zaq4" TargetMode="External"/><Relationship Id="rId74" Type="http://schemas.openxmlformats.org/officeDocument/2006/relationships/hyperlink" Target="http://paperpile.com/b/z2fIKQ/0EBW" TargetMode="External"/><Relationship Id="rId33" Type="http://schemas.openxmlformats.org/officeDocument/2006/relationships/hyperlink" Target="http://paperpile.com/b/z2fIKQ/Y4xy" TargetMode="External"/><Relationship Id="rId77" Type="http://schemas.openxmlformats.org/officeDocument/2006/relationships/hyperlink" Target="http://paperpile.com/b/z2fIKQ/X10H" TargetMode="External"/><Relationship Id="rId32" Type="http://schemas.openxmlformats.org/officeDocument/2006/relationships/hyperlink" Target="http://paperpile.com/b/z2fIKQ/Y4xy" TargetMode="External"/><Relationship Id="rId76" Type="http://schemas.openxmlformats.org/officeDocument/2006/relationships/hyperlink" Target="http://paperpile.com/b/z2fIKQ/X10H" TargetMode="External"/><Relationship Id="rId35" Type="http://schemas.openxmlformats.org/officeDocument/2006/relationships/hyperlink" Target="http://paperpile.com/b/z2fIKQ/5lmP" TargetMode="External"/><Relationship Id="rId79" Type="http://schemas.openxmlformats.org/officeDocument/2006/relationships/hyperlink" Target="http://paperpile.com/b/z2fIKQ/iuDK" TargetMode="External"/><Relationship Id="rId34" Type="http://schemas.openxmlformats.org/officeDocument/2006/relationships/hyperlink" Target="http://paperpile.com/b/z2fIKQ/Y4xy" TargetMode="External"/><Relationship Id="rId78" Type="http://schemas.openxmlformats.org/officeDocument/2006/relationships/hyperlink" Target="http://paperpile.com/b/z2fIKQ/X10H" TargetMode="External"/><Relationship Id="rId71" Type="http://schemas.openxmlformats.org/officeDocument/2006/relationships/hyperlink" Target="http://paperpile.com/b/z2fIKQ/0EBW" TargetMode="External"/><Relationship Id="rId70" Type="http://schemas.openxmlformats.org/officeDocument/2006/relationships/hyperlink" Target="http://paperpile.com/b/z2fIKQ/RDam" TargetMode="External"/><Relationship Id="rId37" Type="http://schemas.openxmlformats.org/officeDocument/2006/relationships/hyperlink" Target="http://paperpile.com/b/z2fIKQ/5lmP" TargetMode="External"/><Relationship Id="rId36" Type="http://schemas.openxmlformats.org/officeDocument/2006/relationships/hyperlink" Target="http://paperpile.com/b/z2fIKQ/5lmP" TargetMode="External"/><Relationship Id="rId39" Type="http://schemas.openxmlformats.org/officeDocument/2006/relationships/hyperlink" Target="http://paperpile.com/b/z2fIKQ/XWBw" TargetMode="External"/><Relationship Id="rId38" Type="http://schemas.openxmlformats.org/officeDocument/2006/relationships/hyperlink" Target="http://paperpile.com/b/z2fIKQ/XWBw" TargetMode="External"/><Relationship Id="rId62" Type="http://schemas.openxmlformats.org/officeDocument/2006/relationships/hyperlink" Target="http://paperpile.com/b/z2fIKQ/8ZKN" TargetMode="External"/><Relationship Id="rId61" Type="http://schemas.openxmlformats.org/officeDocument/2006/relationships/hyperlink" Target="http://paperpile.com/b/z2fIKQ/8ZKN" TargetMode="External"/><Relationship Id="rId20" Type="http://schemas.openxmlformats.org/officeDocument/2006/relationships/hyperlink" Target="https://paperpile.com/c/z2fIKQ/XWBw" TargetMode="External"/><Relationship Id="rId64" Type="http://schemas.openxmlformats.org/officeDocument/2006/relationships/hyperlink" Target="http://paperpile.com/b/z2fIKQ/ySJ1" TargetMode="External"/><Relationship Id="rId63" Type="http://schemas.openxmlformats.org/officeDocument/2006/relationships/hyperlink" Target="http://paperpile.com/b/z2fIKQ/8ZKN" TargetMode="External"/><Relationship Id="rId22" Type="http://schemas.openxmlformats.org/officeDocument/2006/relationships/hyperlink" Target="http://paperpile.com/b/z2fIKQ/rUEt" TargetMode="External"/><Relationship Id="rId66" Type="http://schemas.openxmlformats.org/officeDocument/2006/relationships/hyperlink" Target="http://paperpile.com/b/z2fIKQ/ySJ1" TargetMode="External"/><Relationship Id="rId21" Type="http://schemas.openxmlformats.org/officeDocument/2006/relationships/hyperlink" Target="http://paperpile.com/b/z2fIKQ/rUEt" TargetMode="External"/><Relationship Id="rId65" Type="http://schemas.openxmlformats.org/officeDocument/2006/relationships/hyperlink" Target="http://paperpile.com/b/z2fIKQ/ySJ1" TargetMode="External"/><Relationship Id="rId24" Type="http://schemas.openxmlformats.org/officeDocument/2006/relationships/hyperlink" Target="http://paperpile.com/b/z2fIKQ/J0Tt" TargetMode="External"/><Relationship Id="rId68" Type="http://schemas.openxmlformats.org/officeDocument/2006/relationships/hyperlink" Target="http://paperpile.com/b/z2fIKQ/RDam" TargetMode="External"/><Relationship Id="rId23" Type="http://schemas.openxmlformats.org/officeDocument/2006/relationships/hyperlink" Target="http://paperpile.com/b/z2fIKQ/rUEt" TargetMode="External"/><Relationship Id="rId67" Type="http://schemas.openxmlformats.org/officeDocument/2006/relationships/hyperlink" Target="http://paperpile.com/b/z2fIKQ/ySJ1" TargetMode="External"/><Relationship Id="rId60" Type="http://schemas.openxmlformats.org/officeDocument/2006/relationships/hyperlink" Target="http://paperpile.com/b/z2fIKQ/GILs" TargetMode="External"/><Relationship Id="rId26" Type="http://schemas.openxmlformats.org/officeDocument/2006/relationships/hyperlink" Target="http://paperpile.com/b/z2fIKQ/J0Tt" TargetMode="External"/><Relationship Id="rId25" Type="http://schemas.openxmlformats.org/officeDocument/2006/relationships/hyperlink" Target="http://paperpile.com/b/z2fIKQ/J0Tt" TargetMode="External"/><Relationship Id="rId69" Type="http://schemas.openxmlformats.org/officeDocument/2006/relationships/hyperlink" Target="http://paperpile.com/b/z2fIKQ/RDam" TargetMode="External"/><Relationship Id="rId28" Type="http://schemas.openxmlformats.org/officeDocument/2006/relationships/hyperlink" Target="http://paperpile.com/b/z2fIKQ/J0Tt" TargetMode="External"/><Relationship Id="rId27" Type="http://schemas.openxmlformats.org/officeDocument/2006/relationships/hyperlink" Target="http://paperpile.com/b/z2fIKQ/J0Tt" TargetMode="External"/><Relationship Id="rId29" Type="http://schemas.openxmlformats.org/officeDocument/2006/relationships/hyperlink" Target="http://paperpile.com/b/z2fIKQ/zaq4" TargetMode="External"/><Relationship Id="rId51" Type="http://schemas.openxmlformats.org/officeDocument/2006/relationships/hyperlink" Target="http://paperpile.com/b/z2fIKQ/wfXf" TargetMode="External"/><Relationship Id="rId50" Type="http://schemas.openxmlformats.org/officeDocument/2006/relationships/hyperlink" Target="http://paperpile.com/b/z2fIKQ/wfXf" TargetMode="External"/><Relationship Id="rId94" Type="http://schemas.openxmlformats.org/officeDocument/2006/relationships/footer" Target="footer1.xml"/><Relationship Id="rId53" Type="http://schemas.openxmlformats.org/officeDocument/2006/relationships/hyperlink" Target="http://paperpile.com/b/z2fIKQ/BLNv" TargetMode="External"/><Relationship Id="rId52" Type="http://schemas.openxmlformats.org/officeDocument/2006/relationships/hyperlink" Target="http://paperpile.com/b/z2fIKQ/BLNv" TargetMode="External"/><Relationship Id="rId11" Type="http://schemas.openxmlformats.org/officeDocument/2006/relationships/hyperlink" Target="https://paperpile.com/c/z2fIKQ/J0Tt+meSY+RDam+juCX" TargetMode="External"/><Relationship Id="rId55" Type="http://schemas.openxmlformats.org/officeDocument/2006/relationships/hyperlink" Target="http://paperpile.com/b/z2fIKQ/juCX" TargetMode="External"/><Relationship Id="rId10" Type="http://schemas.openxmlformats.org/officeDocument/2006/relationships/hyperlink" Target="https://paperpile.com/c/z2fIKQ/GILs" TargetMode="External"/><Relationship Id="rId54" Type="http://schemas.openxmlformats.org/officeDocument/2006/relationships/hyperlink" Target="http://paperpile.com/b/z2fIKQ/BLNv" TargetMode="External"/><Relationship Id="rId13" Type="http://schemas.openxmlformats.org/officeDocument/2006/relationships/hyperlink" Target="https://paperpile.com/c/z2fIKQ/X10H" TargetMode="External"/><Relationship Id="rId57" Type="http://schemas.openxmlformats.org/officeDocument/2006/relationships/hyperlink" Target="http://paperpile.com/b/z2fIKQ/juCX" TargetMode="External"/><Relationship Id="rId12" Type="http://schemas.openxmlformats.org/officeDocument/2006/relationships/hyperlink" Target="https://paperpile.com/c/z2fIKQ/Y4xy" TargetMode="External"/><Relationship Id="rId56" Type="http://schemas.openxmlformats.org/officeDocument/2006/relationships/hyperlink" Target="http://paperpile.com/b/z2fIKQ/juCX" TargetMode="External"/><Relationship Id="rId91" Type="http://schemas.openxmlformats.org/officeDocument/2006/relationships/hyperlink" Target="http://paperpile.com/b/z2fIKQ/meSY" TargetMode="External"/><Relationship Id="rId90" Type="http://schemas.openxmlformats.org/officeDocument/2006/relationships/hyperlink" Target="http://paperpile.com/b/z2fIKQ/meSY" TargetMode="External"/><Relationship Id="rId93" Type="http://schemas.openxmlformats.org/officeDocument/2006/relationships/image" Target="media/image1.jpg"/><Relationship Id="rId92" Type="http://schemas.openxmlformats.org/officeDocument/2006/relationships/hyperlink" Target="http://paperpile.com/b/z2fIKQ/meSY" TargetMode="External"/><Relationship Id="rId15" Type="http://schemas.openxmlformats.org/officeDocument/2006/relationships/hyperlink" Target="https://paperpile.com/c/z2fIKQ/8ZKN" TargetMode="External"/><Relationship Id="rId59" Type="http://schemas.openxmlformats.org/officeDocument/2006/relationships/hyperlink" Target="http://paperpile.com/b/z2fIKQ/GILs" TargetMode="External"/><Relationship Id="rId14" Type="http://schemas.openxmlformats.org/officeDocument/2006/relationships/hyperlink" Target="https://paperpile.com/c/z2fIKQ/ySJ1" TargetMode="External"/><Relationship Id="rId58" Type="http://schemas.openxmlformats.org/officeDocument/2006/relationships/hyperlink" Target="http://paperpile.com/b/z2fIKQ/GILs" TargetMode="External"/><Relationship Id="rId17" Type="http://schemas.openxmlformats.org/officeDocument/2006/relationships/hyperlink" Target="https://paperpile.com/c/z2fIKQ/WAWm" TargetMode="External"/><Relationship Id="rId16" Type="http://schemas.openxmlformats.org/officeDocument/2006/relationships/hyperlink" Target="https://paperpile.com/c/z2fIKQ/asjG" TargetMode="External"/><Relationship Id="rId19" Type="http://schemas.openxmlformats.org/officeDocument/2006/relationships/hyperlink" Target="https://paperpile.com/c/z2fIKQ/0EBW" TargetMode="External"/><Relationship Id="rId18" Type="http://schemas.openxmlformats.org/officeDocument/2006/relationships/hyperlink" Target="https://paperpile.com/c/z2fIKQ/iu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