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280" w:lineRule="auto"/>
        <w:rPr>
          <w:rFonts w:ascii="Times New Roman" w:cs="Times New Roman" w:eastAsia="Times New Roman" w:hAnsi="Times New Roman"/>
          <w:b w:val="1"/>
          <w:bCs w:val="1"/>
          <w:color w:val="000000"/>
          <w:sz w:val="26"/>
          <w:szCs w:val="26"/>
        </w:rPr>
      </w:pPr>
      <w:bookmarkStart w:colFirst="0" w:colLast="0" w:name="_bx34z7ex1yxm" w:id="0"/>
      <w:bookmarkEnd w:id="0"/>
      <w:r w:rsidDel="00000000" w:rsidR="00000000" w:rsidRPr="00000000">
        <w:rPr>
          <w:rFonts w:ascii="Times New Roman" w:cs="Times New Roman" w:eastAsia="Times New Roman" w:hAnsi="Times New Roman"/>
          <w:b w:val="1"/>
          <w:bCs w:val="1"/>
          <w:color w:val="000000"/>
          <w:sz w:val="26"/>
          <w:szCs w:val="26"/>
          <w:rtl w:val="0"/>
        </w:rPr>
        <w:t xml:space="preserve">Title Page:</w:t>
      </w:r>
    </w:p>
    <w:p w:rsidR="00000000" w:rsidDel="00000000" w:rsidP="00000000" w:rsidRDefault="00000000" w:rsidRPr="00000000" w14:paraId="00000002">
      <w:pPr>
        <w:pStyle w:val="Heading3"/>
        <w:keepNext w:val="0"/>
        <w:keepLines w:val="0"/>
        <w:spacing w:after="160" w:before="280" w:lineRule="auto"/>
        <w:jc w:val="center"/>
        <w:rPr>
          <w:rFonts w:ascii="Times New Roman" w:cs="Times New Roman" w:eastAsia="Times New Roman" w:hAnsi="Times New Roman"/>
          <w:color w:val="000000"/>
        </w:rPr>
      </w:pPr>
      <w:bookmarkStart w:colFirst="0" w:colLast="0" w:name="_pxuvxnuov51o" w:id="1"/>
      <w:bookmarkEnd w:id="1"/>
      <w:r w:rsidDel="00000000" w:rsidR="00000000" w:rsidRPr="00000000">
        <w:rPr>
          <w:rFonts w:ascii="Times New Roman" w:cs="Times New Roman" w:eastAsia="Times New Roman" w:hAnsi="Times New Roman"/>
          <w:color w:val="000000"/>
          <w:rtl w:val="0"/>
        </w:rPr>
        <w:t xml:space="preserve">Optimizing Accuracy in Iron Deficiency Anaemia Risk Prediction for Pediatric Patients using Deep Convolutional Neural Networks in comparison with Principal Component Analysis Algorithm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Devarakonda Reena Yasmeen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 Gnana Soundari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5">
      <w:pPr>
        <w:pStyle w:val="Heading3"/>
        <w:keepNext w:val="1"/>
        <w:keepLines w:val="0"/>
        <w:spacing w:after="160" w:before="280" w:line="240" w:lineRule="auto"/>
        <w:jc w:val="left"/>
        <w:rPr>
          <w:rFonts w:ascii="Times New Roman" w:cs="Times New Roman" w:eastAsia="Times New Roman" w:hAnsi="Times New Roman"/>
          <w:sz w:val="24"/>
          <w:szCs w:val="24"/>
        </w:rPr>
      </w:pPr>
      <w:bookmarkStart w:colFirst="0" w:colLast="0" w:name="_rz3evkn3vks4" w:id="2"/>
      <w:bookmarkEnd w:id="2"/>
      <w:r w:rsidDel="00000000" w:rsidR="00000000" w:rsidRPr="00000000">
        <w:rPr>
          <w:rtl w:val="0"/>
        </w:rPr>
      </w:r>
    </w:p>
    <w:p w:rsidR="00000000" w:rsidDel="00000000" w:rsidP="00000000" w:rsidRDefault="00000000" w:rsidRPr="00000000" w14:paraId="00000006">
      <w:pPr>
        <w:pStyle w:val="Heading3"/>
        <w:keepNext w:val="0"/>
        <w:keepLines w:val="0"/>
        <w:spacing w:after="160" w:before="280" w:lineRule="auto"/>
        <w:jc w:val="center"/>
        <w:rPr>
          <w:rFonts w:ascii="Times New Roman" w:cs="Times New Roman" w:eastAsia="Times New Roman" w:hAnsi="Times New Roman"/>
          <w:sz w:val="24"/>
          <w:szCs w:val="24"/>
        </w:rPr>
      </w:pPr>
      <w:bookmarkStart w:colFirst="0" w:colLast="0" w:name="_b3tgxsdrbsfd" w:id="3"/>
      <w:bookmarkEnd w:id="3"/>
      <w:r w:rsidDel="00000000" w:rsidR="00000000" w:rsidRPr="00000000">
        <w:rPr>
          <w:rFonts w:ascii="Times New Roman" w:cs="Times New Roman" w:eastAsia="Times New Roman" w:hAnsi="Times New Roman"/>
          <w:b w:val="1"/>
          <w:bCs w:val="1"/>
          <w:color w:val="000000"/>
          <w:sz w:val="40"/>
          <w:szCs w:val="40"/>
          <w:vertAlign w:val="superscript"/>
          <w:rtl w:val="0"/>
        </w:rPr>
        <w:t xml:space="preserve">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Devarakonda Reena Yasmeen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reenayasmeend1261.sse@saveetha.com.</w:t>
      </w:r>
    </w:p>
    <w:p w:rsidR="00000000" w:rsidDel="00000000" w:rsidP="00000000" w:rsidRDefault="00000000" w:rsidRPr="00000000" w14:paraId="0000000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A.Gnana Soundari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gnanasoundaria.sse@saveetha.com.</w:t>
      </w:r>
    </w:p>
    <w:p w:rsidR="00000000" w:rsidDel="00000000" w:rsidP="00000000" w:rsidRDefault="00000000" w:rsidRPr="00000000" w14:paraId="00000016">
      <w:pPr>
        <w:widowControl w:val="0"/>
        <w:spacing w:after="16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Iron Deficiency, Anaemia, Pediatric patients, Novel Deep Convolutional Neural Network, Principal Component Analysis, Healthcare, Machine Learning </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focus of this research is to optimize the accuracy of iron deficiency </w:t>
      </w:r>
      <w:r w:rsidDel="00000000" w:rsidR="00000000" w:rsidRPr="00000000">
        <w:rPr>
          <w:rFonts w:ascii="Times New Roman" w:cs="Times New Roman" w:eastAsia="Times New Roman" w:hAnsi="Times New Roman"/>
          <w:sz w:val="24"/>
          <w:szCs w:val="24"/>
          <w:rtl w:val="0"/>
        </w:rPr>
        <w:t xml:space="preserve">anaemia</w:t>
      </w:r>
      <w:r w:rsidDel="00000000" w:rsidR="00000000" w:rsidRPr="00000000">
        <w:rPr>
          <w:rFonts w:ascii="Times New Roman" w:cs="Times New Roman" w:eastAsia="Times New Roman" w:hAnsi="Times New Roman"/>
          <w:sz w:val="24"/>
          <w:szCs w:val="24"/>
          <w:rtl w:val="0"/>
        </w:rPr>
        <w:t xml:space="preserve"> (IDA) risk prediction for pediatric patients by implementing a novel Deep Convolutional Neural Networks (CNNs) and comparing their performance with the Principal Component Analysis (PCA) algorithm. </w:t>
      </w:r>
      <w:r w:rsidDel="00000000" w:rsidR="00000000" w:rsidRPr="00000000">
        <w:rPr>
          <w:rFonts w:ascii="Times New Roman" w:cs="Times New Roman" w:eastAsia="Times New Roman" w:hAnsi="Times New Roman"/>
          <w:b w:val="1"/>
          <w:bCs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The study utilized a dataset sourced from Kaggle, comprising clinical and laboratory data related to iron deficiency </w:t>
      </w:r>
      <w:r w:rsidDel="00000000" w:rsidR="00000000" w:rsidRPr="00000000">
        <w:rPr>
          <w:rFonts w:ascii="Times New Roman" w:cs="Times New Roman" w:eastAsia="Times New Roman" w:hAnsi="Times New Roman"/>
          <w:sz w:val="24"/>
          <w:szCs w:val="24"/>
          <w:rtl w:val="0"/>
        </w:rPr>
        <w:t xml:space="preserve">anaemia</w:t>
      </w:r>
      <w:r w:rsidDel="00000000" w:rsidR="00000000" w:rsidRPr="00000000">
        <w:rPr>
          <w:rFonts w:ascii="Times New Roman" w:cs="Times New Roman" w:eastAsia="Times New Roman" w:hAnsi="Times New Roman"/>
          <w:sz w:val="24"/>
          <w:szCs w:val="24"/>
          <w:rtl w:val="0"/>
        </w:rPr>
        <w:t xml:space="preserve"> in pediatric patients. This dataset was divided into two distinct groups, with each group consisting of 20 samples, resulting in a total sample size of 40. Group 1 employed the Principal Component Analysis (PCA) algorithm for risk prediction, while Group 2 utilized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The sample size for each group was determined through statistical analysis. The implementation of both algorithms was carried out in Python. To compare the performance of the PCA and DCNN algorithms, accuracy was used as the primary evaluation metric. Statistical analysis was conducted using clincalc.com, with a predetermined statistical power (G-power) of 80%. The significance level (alpha, α) was set at 0.05, and the desired beta (β) value was 0.2. Additionally, a confidence interval of 95% was chosen to ensure robustness in the assessment of algorithmic performance. </w:t>
      </w: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The DCNN algorithm demonstrated an accuracy of 92.29%, while the PCA algorithm achieved an accuracy of 80.23%. A two-tailed significance test was conducted to assess these differences, yielding a p-value of 0.017 (p&lt;0.05). This p-value indicates that the observed variations in accuracy between the two algorithms were statistically significant at the 95% confidence level. </w:t>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In conclusion, the study's findings suggest that the DCNN algorithm outperformed the PCA algorithm in accurately predicting iron deficiency </w:t>
      </w:r>
      <w:r w:rsidDel="00000000" w:rsidR="00000000" w:rsidRPr="00000000">
        <w:rPr>
          <w:rFonts w:ascii="Times New Roman" w:cs="Times New Roman" w:eastAsia="Times New Roman" w:hAnsi="Times New Roman"/>
          <w:sz w:val="24"/>
          <w:szCs w:val="24"/>
          <w:rtl w:val="0"/>
        </w:rPr>
        <w:t xml:space="preserve">anaemia</w:t>
      </w:r>
      <w:r w:rsidDel="00000000" w:rsidR="00000000" w:rsidRPr="00000000">
        <w:rPr>
          <w:rFonts w:ascii="Times New Roman" w:cs="Times New Roman" w:eastAsia="Times New Roman" w:hAnsi="Times New Roman"/>
          <w:sz w:val="24"/>
          <w:szCs w:val="24"/>
          <w:rtl w:val="0"/>
        </w:rPr>
        <w:t xml:space="preserve"> risk in the pediatric population, with a statistically significant difference in their respective predictive capabilities.</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Iron Deficiency, Anaemia, Pediatric patients, Novel Deep Convolutional Neural Network, Principal Component Analysis, Healthcare, Machine Learning</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Deficiency Anaemia (IDA) is a widespread nutritional disorder characterized by a deficiency of iron in the body, leading to a decrease in the production of red blood cells and impaired oxygen transport to tissues</w:t>
      </w:r>
      <w:hyperlink r:id="rId6">
        <w:r w:rsidDel="00000000" w:rsidR="00000000" w:rsidRPr="00000000">
          <w:rPr>
            <w:rFonts w:ascii="Times New Roman" w:cs="Times New Roman" w:eastAsia="Times New Roman" w:hAnsi="Times New Roman"/>
            <w:sz w:val="24"/>
            <w:szCs w:val="24"/>
            <w:rtl w:val="0"/>
          </w:rPr>
          <w:t xml:space="preserve"> (Orsango et al. 2021)</w:t>
        </w:r>
      </w:hyperlink>
      <w:r w:rsidDel="00000000" w:rsidR="00000000" w:rsidRPr="00000000">
        <w:rPr>
          <w:rFonts w:ascii="Times New Roman" w:cs="Times New Roman" w:eastAsia="Times New Roman" w:hAnsi="Times New Roman"/>
          <w:sz w:val="24"/>
          <w:szCs w:val="24"/>
          <w:rtl w:val="0"/>
        </w:rPr>
        <w:t xml:space="preserve">. It is particularly prevalent among pediatric patients, making early and accurate diagnosis crucial for effective intervention. Traditional methods for IDA risk prediction have their limitations, often relying on manual interpretation of clinical and laboratory data, which can be time-consuming and prone to subjectivity</w:t>
      </w:r>
      <w:hyperlink r:id="rId7">
        <w:r w:rsidDel="00000000" w:rsidR="00000000" w:rsidRPr="00000000">
          <w:rPr>
            <w:rFonts w:ascii="Times New Roman" w:cs="Times New Roman" w:eastAsia="Times New Roman" w:hAnsi="Times New Roman"/>
            <w:sz w:val="24"/>
            <w:szCs w:val="24"/>
            <w:rtl w:val="0"/>
          </w:rPr>
          <w:t xml:space="preserve"> (Moscheo et al. 2022)</w:t>
        </w:r>
      </w:hyperlink>
      <w:r w:rsidDel="00000000" w:rsidR="00000000" w:rsidRPr="00000000">
        <w:rPr>
          <w:rFonts w:ascii="Times New Roman" w:cs="Times New Roman" w:eastAsia="Times New Roman" w:hAnsi="Times New Roman"/>
          <w:sz w:val="24"/>
          <w:szCs w:val="24"/>
          <w:rtl w:val="0"/>
        </w:rPr>
        <w:t xml:space="preserve">. In this context, this study proposes a novel approach using Deep Convolutional Neural Networks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to enhance IDA risk prediction. DCNNs are a subset of deep learning models known for their ability to automatically extract complex patterns from data</w:t>
      </w:r>
      <w:hyperlink r:id="rId8">
        <w:r w:rsidDel="00000000" w:rsidR="00000000" w:rsidRPr="00000000">
          <w:rPr>
            <w:rFonts w:ascii="Times New Roman" w:cs="Times New Roman" w:eastAsia="Times New Roman" w:hAnsi="Times New Roman"/>
            <w:sz w:val="24"/>
            <w:szCs w:val="24"/>
            <w:rtl w:val="0"/>
          </w:rPr>
          <w:t xml:space="preserve"> (Omar et al. 2021)</w:t>
        </w:r>
      </w:hyperlink>
      <w:r w:rsidDel="00000000" w:rsidR="00000000" w:rsidRPr="00000000">
        <w:rPr>
          <w:rFonts w:ascii="Times New Roman" w:cs="Times New Roman" w:eastAsia="Times New Roman" w:hAnsi="Times New Roman"/>
          <w:sz w:val="24"/>
          <w:szCs w:val="24"/>
          <w:rtl w:val="0"/>
        </w:rPr>
        <w:t xml:space="preserve">. This study compares the performance of the DCNN algorithm with the traditional Principal Component Analysis (PCA) method in predicting IDA risk among pediatric patients. The results of this comparative analysis shed light on the potential advantages of leveraging deep learning techniques in the medical domain, paving the way for more accurate and efficient diagnostic processes</w:t>
      </w:r>
      <w:hyperlink r:id="rId9">
        <w:r w:rsidDel="00000000" w:rsidR="00000000" w:rsidRPr="00000000">
          <w:rPr>
            <w:rFonts w:ascii="Times New Roman" w:cs="Times New Roman" w:eastAsia="Times New Roman" w:hAnsi="Times New Roman"/>
            <w:sz w:val="24"/>
            <w:szCs w:val="24"/>
            <w:rtl w:val="0"/>
          </w:rPr>
          <w:t xml:space="preserve"> (Shalby et al. 2022)</w:t>
        </w:r>
      </w:hyperlink>
      <w:r w:rsidDel="00000000" w:rsidR="00000000" w:rsidRPr="00000000">
        <w:rPr>
          <w:rFonts w:ascii="Times New Roman" w:cs="Times New Roman" w:eastAsia="Times New Roman" w:hAnsi="Times New Roman"/>
          <w:sz w:val="24"/>
          <w:szCs w:val="24"/>
          <w:rtl w:val="0"/>
        </w:rPr>
        <w:t xml:space="preserve">. The successful implementation of the DCNN algorithm for IDA risk prediction holds promise for various applications in healthcare. It can contribute to early and accurate diagnosis of IDA in pediatric patients, facilitating timely interventions and improving patient outcomes</w:t>
      </w:r>
      <w:hyperlink r:id="rId10">
        <w:r w:rsidDel="00000000" w:rsidR="00000000" w:rsidRPr="00000000">
          <w:rPr>
            <w:rFonts w:ascii="Times New Roman" w:cs="Times New Roman" w:eastAsia="Times New Roman" w:hAnsi="Times New Roman"/>
            <w:sz w:val="24"/>
            <w:szCs w:val="24"/>
            <w:rtl w:val="0"/>
          </w:rPr>
          <w:t xml:space="preserve"> (Devi et al.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authors have explored IDA prediction using various machine learning algorithms</w:t>
      </w:r>
      <w:hyperlink r:id="rId11">
        <w:r w:rsidDel="00000000" w:rsidR="00000000" w:rsidRPr="00000000">
          <w:rPr>
            <w:rFonts w:ascii="Times New Roman" w:cs="Times New Roman" w:eastAsia="Times New Roman" w:hAnsi="Times New Roman"/>
            <w:sz w:val="24"/>
            <w:szCs w:val="24"/>
            <w:rtl w:val="0"/>
          </w:rPr>
          <w:t xml:space="preserve"> (Devanath et al. 2022; Taeidi et al. 2023; Endalamaw and Abuhay 2022; Hochman et al. 2021)</w:t>
        </w:r>
      </w:hyperlink>
      <w:r w:rsidDel="00000000" w:rsidR="00000000" w:rsidRPr="00000000">
        <w:rPr>
          <w:rFonts w:ascii="Times New Roman" w:cs="Times New Roman" w:eastAsia="Times New Roman" w:hAnsi="Times New Roman"/>
          <w:sz w:val="24"/>
          <w:szCs w:val="24"/>
          <w:rtl w:val="0"/>
        </w:rPr>
        <w:t xml:space="preserve">. Notably, 221 papers have been featured in prestigious IEEE journals and conferences, with an even larger body of research, approximately 259 papers, accessible via Google Scholar. Yang et al.</w:t>
      </w:r>
      <w:hyperlink r:id="rId12">
        <w:r w:rsidDel="00000000" w:rsidR="00000000" w:rsidRPr="00000000">
          <w:rPr>
            <w:rFonts w:ascii="Times New Roman" w:cs="Times New Roman" w:eastAsia="Times New Roman" w:hAnsi="Times New Roman"/>
            <w:sz w:val="24"/>
            <w:szCs w:val="24"/>
            <w:rtl w:val="0"/>
          </w:rPr>
          <w:t xml:space="preserve"> (Yang et al. 2020)</w:t>
        </w:r>
      </w:hyperlink>
      <w:r w:rsidDel="00000000" w:rsidR="00000000" w:rsidRPr="00000000">
        <w:rPr>
          <w:rFonts w:ascii="Times New Roman" w:cs="Times New Roman" w:eastAsia="Times New Roman" w:hAnsi="Times New Roman"/>
          <w:sz w:val="24"/>
          <w:szCs w:val="24"/>
          <w:rtl w:val="0"/>
        </w:rPr>
        <w:t xml:space="preserve"> investigated IDA prediction using Support Vector Machines (SVMs). The SVM algorithm demonstrated promising results in distinguishing IDA risk factors based on clinical and laboratory data. Divina et al.</w:t>
      </w:r>
      <w:hyperlink r:id="rId13">
        <w:r w:rsidDel="00000000" w:rsidR="00000000" w:rsidRPr="00000000">
          <w:rPr>
            <w:rFonts w:ascii="Times New Roman" w:cs="Times New Roman" w:eastAsia="Times New Roman" w:hAnsi="Times New Roman"/>
            <w:sz w:val="24"/>
            <w:szCs w:val="24"/>
            <w:rtl w:val="0"/>
          </w:rPr>
          <w:t xml:space="preserve"> (Divina et al. 2020)</w:t>
        </w:r>
      </w:hyperlink>
      <w:r w:rsidDel="00000000" w:rsidR="00000000" w:rsidRPr="00000000">
        <w:rPr>
          <w:rFonts w:ascii="Times New Roman" w:cs="Times New Roman" w:eastAsia="Times New Roman" w:hAnsi="Times New Roman"/>
          <w:sz w:val="24"/>
          <w:szCs w:val="24"/>
          <w:rtl w:val="0"/>
        </w:rPr>
        <w:t xml:space="preserve"> explored Random Forest (RF) as an alternative algorithm for IDA prediction. RF exhibited high predictive accuracy and robustness, making it a valuable tool in early IDA detection. Saihood et al.</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sz w:val="24"/>
            <w:szCs w:val="24"/>
            <w:rtl w:val="0"/>
          </w:rPr>
          <w:t xml:space="preserve">Saihood</w:t>
        </w:r>
      </w:hyperlink>
      <w:hyperlink r:id="rId16">
        <w:r w:rsidDel="00000000" w:rsidR="00000000" w:rsidRPr="00000000">
          <w:rPr>
            <w:rFonts w:ascii="Times New Roman" w:cs="Times New Roman" w:eastAsia="Times New Roman" w:hAnsi="Times New Roman"/>
            <w:sz w:val="24"/>
            <w:szCs w:val="24"/>
            <w:rtl w:val="0"/>
          </w:rPr>
          <w:t xml:space="preserve"> and Sonuç 2022)</w:t>
        </w:r>
      </w:hyperlink>
      <w:r w:rsidDel="00000000" w:rsidR="00000000" w:rsidRPr="00000000">
        <w:rPr>
          <w:rFonts w:ascii="Times New Roman" w:cs="Times New Roman" w:eastAsia="Times New Roman" w:hAnsi="Times New Roman"/>
          <w:sz w:val="24"/>
          <w:szCs w:val="24"/>
          <w:rtl w:val="0"/>
        </w:rPr>
        <w:t xml:space="preserve"> employed K-Nearest Neighbors (KNN) for IDA risk assessment. The KNN algorithm showcased its ability to classify pediatric patients into IDA risk categories with favorable accuracy rates. Das et al.</w:t>
      </w:r>
      <w:hyperlink r:id="rId17">
        <w:r w:rsidDel="00000000" w:rsidR="00000000" w:rsidRPr="00000000">
          <w:rPr>
            <w:rFonts w:ascii="Times New Roman" w:cs="Times New Roman" w:eastAsia="Times New Roman" w:hAnsi="Times New Roman"/>
            <w:sz w:val="24"/>
            <w:szCs w:val="24"/>
            <w:rtl w:val="0"/>
          </w:rPr>
          <w:t xml:space="preserve"> (Das et al. 2022)</w:t>
        </w:r>
      </w:hyperlink>
      <w:r w:rsidDel="00000000" w:rsidR="00000000" w:rsidRPr="00000000">
        <w:rPr>
          <w:rFonts w:ascii="Times New Roman" w:cs="Times New Roman" w:eastAsia="Times New Roman" w:hAnsi="Times New Roman"/>
          <w:sz w:val="24"/>
          <w:szCs w:val="24"/>
          <w:rtl w:val="0"/>
        </w:rPr>
        <w:t xml:space="preserve"> employed Gradient Boosting Machines (GBM) to predict IDA in pediatric populations. GBM demonstrated excellent feature selection and achieved remarkable accuracy in IDA risk classification. Mahir et al.</w:t>
      </w:r>
      <w:hyperlink r:id="rId18">
        <w:r w:rsidDel="00000000" w:rsidR="00000000" w:rsidRPr="00000000">
          <w:rPr>
            <w:rFonts w:ascii="Times New Roman" w:cs="Times New Roman" w:eastAsia="Times New Roman" w:hAnsi="Times New Roman"/>
            <w:sz w:val="24"/>
            <w:szCs w:val="24"/>
            <w:rtl w:val="0"/>
          </w:rPr>
          <w:t xml:space="preserve"> (Mahir et al. 2021)</w:t>
        </w:r>
      </w:hyperlink>
      <w:r w:rsidDel="00000000" w:rsidR="00000000" w:rsidRPr="00000000">
        <w:rPr>
          <w:rFonts w:ascii="Times New Roman" w:cs="Times New Roman" w:eastAsia="Times New Roman" w:hAnsi="Times New Roman"/>
          <w:sz w:val="24"/>
          <w:szCs w:val="24"/>
          <w:rtl w:val="0"/>
        </w:rPr>
        <w:t xml:space="preserve"> investigated the application of Neural Networks (NN) for IDA prediction. NNs, with their ability to capture complex relationships, proved effective in early IDA detection, with competitive accuracy rates. Nivaggioni et al.</w:t>
      </w:r>
      <w:hyperlink r:id="rId19">
        <w:r w:rsidDel="00000000" w:rsidR="00000000" w:rsidRPr="00000000">
          <w:rPr>
            <w:rFonts w:ascii="Times New Roman" w:cs="Times New Roman" w:eastAsia="Times New Roman" w:hAnsi="Times New Roman"/>
            <w:sz w:val="24"/>
            <w:szCs w:val="24"/>
            <w:rtl w:val="0"/>
          </w:rPr>
          <w:t xml:space="preserve"> (Nivaggioni et al. 2022)</w:t>
        </w:r>
      </w:hyperlink>
      <w:r w:rsidDel="00000000" w:rsidR="00000000" w:rsidRPr="00000000">
        <w:rPr>
          <w:rFonts w:ascii="Times New Roman" w:cs="Times New Roman" w:eastAsia="Times New Roman" w:hAnsi="Times New Roman"/>
          <w:sz w:val="24"/>
          <w:szCs w:val="24"/>
          <w:rtl w:val="0"/>
        </w:rPr>
        <w:t xml:space="preserve"> explored the use of Decision Trees (DT) in IDA risk assessment. DTs provided interpretable results and identified crucial risk factors for pediatric IDA with high precision. Li et al.</w:t>
      </w:r>
      <w:hyperlink r:id="rId20">
        <w:r w:rsidDel="00000000" w:rsidR="00000000" w:rsidRPr="00000000">
          <w:rPr>
            <w:rFonts w:ascii="Times New Roman" w:cs="Times New Roman" w:eastAsia="Times New Roman" w:hAnsi="Times New Roman"/>
            <w:sz w:val="24"/>
            <w:szCs w:val="24"/>
            <w:rtl w:val="0"/>
          </w:rPr>
          <w:t xml:space="preserve"> (Li et al. 2023)</w:t>
        </w:r>
      </w:hyperlink>
      <w:r w:rsidDel="00000000" w:rsidR="00000000" w:rsidRPr="00000000">
        <w:rPr>
          <w:rFonts w:ascii="Times New Roman" w:cs="Times New Roman" w:eastAsia="Times New Roman" w:hAnsi="Times New Roman"/>
          <w:sz w:val="24"/>
          <w:szCs w:val="24"/>
          <w:rtl w:val="0"/>
        </w:rPr>
        <w:t xml:space="preserve"> focused on Logistic Regression (LR) for IDA prediction. LR offered a straightforward and interpretable approach to identifying IDA risk factors, aiding in early diagnosis. Among these studies, the one that stands out as the best is the investigation conducted by Das et al.</w:t>
      </w:r>
      <w:hyperlink r:id="rId21">
        <w:r w:rsidDel="00000000" w:rsidR="00000000" w:rsidRPr="00000000">
          <w:rPr>
            <w:rFonts w:ascii="Times New Roman" w:cs="Times New Roman" w:eastAsia="Times New Roman" w:hAnsi="Times New Roman"/>
            <w:sz w:val="24"/>
            <w:szCs w:val="24"/>
            <w:rtl w:val="0"/>
          </w:rPr>
          <w:t xml:space="preserve"> (Das et al. 2022)</w:t>
        </w:r>
      </w:hyperlink>
      <w:r w:rsidDel="00000000" w:rsidR="00000000" w:rsidRPr="00000000">
        <w:rPr>
          <w:rFonts w:ascii="Times New Roman" w:cs="Times New Roman" w:eastAsia="Times New Roman" w:hAnsi="Times New Roman"/>
          <w:sz w:val="24"/>
          <w:szCs w:val="24"/>
          <w:rtl w:val="0"/>
        </w:rPr>
        <w:t xml:space="preserve"> using Gradient Boosting Machines (GBM). This study not only demonstrated the remarkable feature selection capabilities of GBM but also achieved outstanding accuracy in classifying IDA risk in pediatric populations.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drawback of Principal Component Analysis (PCA) in the context of Iron Deficiency Anaemia (IDA) prediction is its limited capacity to capture complex and non-linear relationships within the multifaceted IDA dataset. PCA primarily focuses on linear combinations of variables, potentially overlooking subtle but critical patterns and interactions that might be crucial for accurate risk prediction. This limitation is overcome by the proposed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which excels in capturing intricate, non-linear, and hierarchical features from medical datasets. Existing experience in research indicates that DCNNs have demonstrated remarkable success in various medical applications by automatically learning and extracting intricate patterns from diverse healthcare data. The aim of this study is to leverage the inherent capabilities of DCNN to enhance IDA risk prediction in pediatric patients, ultimately providing healthcare professionals with a more accurate and comprehensive diagnostic tool for timely intervention and improved patient care.</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METHODS</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in the Department of Computer Science and Engineering at Saveetha University. The dataset utilized in this study was obtained from Kaggle, a renowned data repository, and consisted of anonymized </w:t>
      </w:r>
      <w:r w:rsidDel="00000000" w:rsidR="00000000" w:rsidRPr="00000000">
        <w:rPr>
          <w:rFonts w:ascii="Times New Roman" w:cs="Times New Roman" w:eastAsia="Times New Roman" w:hAnsi="Times New Roman"/>
          <w:sz w:val="24"/>
          <w:szCs w:val="24"/>
          <w:rtl w:val="0"/>
        </w:rPr>
        <w:t xml:space="preserve">pediatric</w:t>
      </w:r>
      <w:r w:rsidDel="00000000" w:rsidR="00000000" w:rsidRPr="00000000">
        <w:rPr>
          <w:rFonts w:ascii="Times New Roman" w:cs="Times New Roman" w:eastAsia="Times New Roman" w:hAnsi="Times New Roman"/>
          <w:sz w:val="24"/>
          <w:szCs w:val="24"/>
          <w:rtl w:val="0"/>
        </w:rPr>
        <w:t xml:space="preserve"> patient records with relevant clinical and laboratory information pertaining to iron deficiency anemia (IDA). The dataset was preprocessed to ensure data quality, including handling missing values and feature normalization. Two distinct groups, each comprising 20 samples, were established for the study. Group 1 utilized the Principal Component Analysis (PCA) algorithm for risk prediction, while Group 2 implemented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Each group was designed to consist of 20 samples to ensure a balanced comparison. The determination of the sample size was conducted through statistical analysis. A total of 40 samples, equally divided between the two groups, were deemed appropriate for this study to attain statistical significance. The evaluation of predictive performance was based on the accuracy metric. Statistical analysis was conducted utilizing the clincalc.com platform with specific parameters set to ensure robustness</w:t>
      </w:r>
      <w:hyperlink r:id="rId22">
        <w:r w:rsidDel="00000000" w:rsidR="00000000" w:rsidRPr="00000000">
          <w:rPr>
            <w:rFonts w:ascii="Times New Roman" w:cs="Times New Roman" w:eastAsia="Times New Roman" w:hAnsi="Times New Roman"/>
            <w:sz w:val="24"/>
            <w:szCs w:val="24"/>
            <w:rtl w:val="0"/>
          </w:rPr>
          <w:t xml:space="preserve"> (Goodwin and Demner-Fushman 2020)</w:t>
        </w:r>
      </w:hyperlink>
      <w:r w:rsidDel="00000000" w:rsidR="00000000" w:rsidRPr="00000000">
        <w:rPr>
          <w:rFonts w:ascii="Times New Roman" w:cs="Times New Roman" w:eastAsia="Times New Roman" w:hAnsi="Times New Roman"/>
          <w:sz w:val="24"/>
          <w:szCs w:val="24"/>
          <w:rtl w:val="0"/>
        </w:rPr>
        <w:t xml:space="preserve">. A statistical power (G-power) of 80% was employed, while alpha (α) and beta (β) values were set at 0.05 and 0.2, respectively. Additionally, a confidence interval of 95% was utilized to ascertain the reliability of the results and to draw meaningful conclusions from the performance comparison between the PCA and DCNN algorithms in predicting IDA risk in pediatric patients.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 Component Analysis (PCA) Algorithm</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Component Analysis (PCA) is a dimensionality reduction technique widely used in data analysis and pattern recognition. Its primary goal is to transform high-dimensional data into a lower-dimensional space while preserving as much of the original data's variability as possible. PCA achieves this by identifying linear combinations of the original variables, known as principal components that capture the most significant variation in the data.</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starts with the computation of the covariance matrix (C) of the original data matrix (X), which is typically done as follows: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is the number of data samples.</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represents the transpose of the data matrix.</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PCA calculates the eigenvectors (e) and eigenvalues (λ) of the covariance matrix C. These are obtained from the equation:</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eigenvectors represent the directions (principal components) in which the data varies the most, and the eigenvalues quantify the amount of variance along each eigenvector. PCA then selects a subset of the eigenvectors to form a new transformation matrix. Typically, these eigenvectors are chosen based on their corresponding eigenvalues, with higher eigenvalues indicating more important components.</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transformed data matrix Y is created by projecting the original data onto the selected eigenvectors:</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bh                                      </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matrix formed by the selected eigenvectors.</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Component Analysis (PCA) can be employed in Iron Deficiency Anaemia (IDA) data analysis to reduce the dimensionality of clinical and laboratory features, aiming to preserve crucial information. However, PCA's accuracy in IDA prediction can be compromised for several reasons. Firstly, PCA operates on the assumption of linear relationships among variables, which may not adequately capture the intricate, non-linear interactions characteristic of IDA data. Secondly, while PCA maximizes variance preservation, it may not consistently retain the most informative aspects for classification tasks like IDA prediction, potentially leading to the loss of valuable non-linear patterns. Additionally, PCA is an unsupervised technique, neglecting class labels, which may result in the omission of disease-specific features essential for precise IDA prediction. PCA's sensitivity to variable scaling and the challenge of determining the optimal number of principal components further contribute to its limitations in handling the complexities of IDA data. These factors collectively underscore the need for more sophisticated and adaptable methods like deep learning approaches to improve IDA prediction accuracy.</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Pseudocode</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:Principal Component Analysis (PCA) Algorithm</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Standardize the dataset to have a mean of zero and a standard deviation of one.</w:t>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Compute the covariance matrix.</w:t>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Calculate eigenvectors and eigenvalues of the covariance matrix.</w:t>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Sort eigenvectors by corresponding eigenvalues in descending order.</w:t>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Select the top 'k' eigenvectors to create the transformation matrix.</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Project the data onto the selected eigenvectors to reduce dimensionality.</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Calculate explained variance for each principal component.</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Optionally, visualize explained variance.</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Use the reduced-dimensional data for further analysis or modeling.</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Apply PCA for classification or prediction tasks and assess its performance.</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Convolutional Neural Network (</w:t>
      </w: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algorithm</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is a type of artificial neural network designed specifically for processing structured grid data, such as images and spatial data. DCNNs are characterized by their deep architecture, comprising multiple layers of convolutional, pooling, and fully connected layers. They are highly effective in capturing hierarchical features and patterns within data, making them particularly suited for tasks like image recognition and medical image analysis.</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DCNNs can be applied to IDA data by treating the clinical and laboratory features as structured data, where each feature can be considered analogous to a pixel in an image. The network learns to automatically extract complex patterns and relationships within the data. In the context of IDA prediction, the DCNN can be trained to identify relevant combinations of features that are indicative of the disease. While DCNNs are not typically used for structured tabular data, they can be adapted for such tasks.</w:t>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Layer:</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position i in the output feature map Ci, where Ci is the output feature map, I is the input, K is the convolution kernel, and i represents the position in the feature map.</w:t>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Pooling Layer (Max Pooling, for example):</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position is in the pooled feature map Pi, where Pi is the pooled feature map.</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Connected Layer (Dense Layer):</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neuron i in the fully connected layer, where Oi is the neuron's output, Wi is the weight matrix, I is the input, bi is the bias term, and σ is the activation function (e.g., ReLU or Sigmoid).</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Convolutional Neural Networks (DCNNs) enhance accuracy in Iron Deficiency Anaemia (IDA) prediction through several key mechanisms. Firstly, DCNNs excel at automatic feature learning, extracting relevant information from intricate IDA datasets, uncovering non-linear and hierarchical relationships that traditional methods like PCA may struggle to capture. Secondly, they establish hierarchical representations, discerning subtle patterns across different levels of abstraction within the data, thus revealing nuanced interactions that might be overlooked by conventional techniques. Thirdly, DCNNs facilitate end-to-end learning, simultaneously optimizing feature representations and classification, potentially leading to enhanced IDA prediction accuracy. Beyond these advantages, DCNNs construct feature hierarchies that capture fine-grained patterns, reducing the need for manual feature engineering, while their adaptability to diverse data types, including structured IDA patient records, makes them versatile for various healthcare applications. Their state-of-the-art performance in medical image analysis tasks underscores their potential to elevate accuracy in IDA prediction, offering a promising avenue for improving diagnostic outcomes in healthcare settings.</w:t>
      </w:r>
    </w:p>
    <w:p w:rsidR="00000000" w:rsidDel="00000000" w:rsidP="00000000" w:rsidRDefault="00000000" w:rsidRPr="00000000" w14:paraId="0000004F">
      <w:pPr>
        <w:spacing w:after="200" w:line="360" w:lineRule="auto"/>
        <w:ind w:right="10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Pseudocode</w:t>
      </w:r>
      <w:r w:rsidDel="00000000" w:rsidR="00000000" w:rsidRPr="00000000">
        <w:rPr>
          <w:rtl w:val="0"/>
        </w:rPr>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 Deep Convolutional Neural Network (</w:t>
      </w: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algorithm</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Initialize the DCNN architecture.</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Load and preprocess the IDA dataset.</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Define convolutional layers.</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Implement pooling layers.</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Configure fully connected layers.</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Add the output layer.</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Define loss function and optimization algorithm.</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Train the DCNN.</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Monitor training for convergence and overfitting.</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Evaluate the DCNN's accuracy on a test dataset.</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setup for this study was conducted on Google Colab, which provided a cloud-based computing environment for seamless execution of the Python implementation. The system configuration included a virtual machine with 16 GB of RAM and a spacious hard disk drive with 100 GB storage capacity. The operating system employed was a Windows-based setup, with Windows 10 Pro as the chosen OS configuration. The processor used was an Intel Core i7, ensuring ample processing power for data analysis and model training. Python scripts were executed within Google Colab, taking advantage of its powerful GPUs and libraries for machine learning and data analysis. This setup ensured efficient and resourceful experimentation for the study's objectives.</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Preparation</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preparation process involved several key steps to ensure data quality and suitability for analysis. Initially, raw data was collected from various sources, including clinical records and laboratory reports related to pediatric patients with iron deficiency </w:t>
      </w:r>
      <w:r w:rsidDel="00000000" w:rsidR="00000000" w:rsidRPr="00000000">
        <w:rPr>
          <w:rFonts w:ascii="Times New Roman" w:cs="Times New Roman" w:eastAsia="Times New Roman" w:hAnsi="Times New Roman"/>
          <w:sz w:val="24"/>
          <w:szCs w:val="24"/>
          <w:rtl w:val="0"/>
        </w:rPr>
        <w:t xml:space="preserve">anaemia</w:t>
      </w:r>
      <w:r w:rsidDel="00000000" w:rsidR="00000000" w:rsidRPr="00000000">
        <w:rPr>
          <w:rFonts w:ascii="Times New Roman" w:cs="Times New Roman" w:eastAsia="Times New Roman" w:hAnsi="Times New Roman"/>
          <w:sz w:val="24"/>
          <w:szCs w:val="24"/>
          <w:rtl w:val="0"/>
        </w:rPr>
        <w:t xml:space="preserve"> (IDA). Data cleaning and preprocessing were performed to address missing values, outliers, and inconsistencies, ensuring the dataset's integrity. Feature selection techniques were applied to identify relevant variables contributing to the prediction task, while redundant or irrelevant attributes were removed. Data normalization and scaling were conducted to standardize the range and distribution of features. Furthermore, the dataset was randomly divided into two groups, each containing 20 samples, to facilitate comparative analysis between the Principal Component Analysis (PCA) and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algorithms for IDA risk prediction. This rigorous dataset preparation process laid the foundation for accurate and meaningful results in the study's evaluation and comparison of predictive algorithms.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was conducted using IBM SPSS</w:t>
      </w:r>
      <w:hyperlink r:id="rId23">
        <w:r w:rsidDel="00000000" w:rsidR="00000000" w:rsidRPr="00000000">
          <w:rPr>
            <w:rFonts w:ascii="Times New Roman" w:cs="Times New Roman" w:eastAsia="Times New Roman" w:hAnsi="Times New Roman"/>
            <w:sz w:val="24"/>
            <w:szCs w:val="24"/>
            <w:rtl w:val="0"/>
          </w:rPr>
          <w:t xml:space="preserve"> (Pallant 2020)</w:t>
        </w:r>
      </w:hyperlink>
      <w:r w:rsidDel="00000000" w:rsidR="00000000" w:rsidRPr="00000000">
        <w:rPr>
          <w:rFonts w:ascii="Times New Roman" w:cs="Times New Roman" w:eastAsia="Times New Roman" w:hAnsi="Times New Roman"/>
          <w:sz w:val="24"/>
          <w:szCs w:val="24"/>
          <w:rtl w:val="0"/>
        </w:rPr>
        <w:t xml:space="preserve"> software to assess the significance of differences in accuracy between the two predictive algorithms,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PCA. A two-tailed significance test was employed with a predetermined alpha level (α) of 0.05, indicating a 95% confidence level. The dependent variable under scrutiny was the accuracy of the algorithms, while the independent variables of interest were DCNN and PCA. The analysis aimed to determine whether there were statistically significant variations in predictive accuracy between the two algorithms. The results indicated that any observed differences in accuracy were statistically significant if the calculated p-value was less than 0.05, providing critical insights into the comparative performance of the DCNN and PCA methods for iron deficiency </w:t>
      </w:r>
      <w:r w:rsidDel="00000000" w:rsidR="00000000" w:rsidRPr="00000000">
        <w:rPr>
          <w:rFonts w:ascii="Times New Roman" w:cs="Times New Roman" w:eastAsia="Times New Roman" w:hAnsi="Times New Roman"/>
          <w:sz w:val="24"/>
          <w:szCs w:val="24"/>
          <w:rtl w:val="0"/>
        </w:rPr>
        <w:t xml:space="preserve">anaemia</w:t>
      </w:r>
      <w:r w:rsidDel="00000000" w:rsidR="00000000" w:rsidRPr="00000000">
        <w:rPr>
          <w:rFonts w:ascii="Times New Roman" w:cs="Times New Roman" w:eastAsia="Times New Roman" w:hAnsi="Times New Roman"/>
          <w:sz w:val="24"/>
          <w:szCs w:val="24"/>
          <w:rtl w:val="0"/>
        </w:rPr>
        <w:t xml:space="preserve"> risk prediction in pediatric patients.</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Python compiler accuracy gain of Deep Convolutional Neural Networks(DCNN) and Principal Component Analysis(PCA) was recorded as 92.29% and 80.23%. The proposed Deep Convolutional Neural Network improved pre-training efficiency by vast numbers and its accuracy was gained. Table 1 having the accuracy gain of Deep Convolutional Neural Network(DCNN) and Principal Component Analysis(PCA) obtained from a Python compiler at 20 different instants.</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SPSS statistical analysis took data available in Table 1 as input and performed a comparative mean test. The comparative mean test is categorized as a group statistical analysis and an independent sample test. Initially, group statistics are carried out and it is denied in Table 2. By taking 20 samples per group, the mean accuracy, standard deviation, and standard error mean is obtained. The values obtained from group 1 are 92.29%, 1.87305,0.41883 and group 2 having 80.23%, 1.114,0.249 respectively.</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implies the assumption and non-assumption of equal variance in accuracy. For this analysis, the value of p is maintained as p&lt;0.05. The graph obtained from statistical analysis is visualized in Figure 1. From Table 2, the mean accuracy value is chosen and the mean accuracy comparison graph is prepared. The X-axis denotes suggested classifiers and the Y-axis denotes accuracy value. The mean accuracy of proposed and conventional classifiers is 92.29% and 80.23%. Visual representation of the precision-recall trade-off for DCNN and PCA, highlighting the nuanced balance between precision and recall in pre-training data.</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analysis indicate a significant difference in performance between the two algorithms, PCA and DCNN, in predicting accuracy. DCNN demonstrated a substantially higher average accuracy of approximately 92.29%, while PCA achieved an average accuracy of around 80.23%. Statistical tests further confirmed this difference, with p-values &lt; 0.001 under both equal and unequal variance assumptions, signifying the statistical significance of the accuracy gap. The consensus from the results is clear: DCNN is the superior algorithm for the given task, achieving higher accuracy in predicting the outcome. These findings suggest that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is a more effective approach in this specific context and should be considered for future applications where accurate predictions are paramount. The consensus aligns with the statistical evidence and reinforces the practical importance of choosing the appropriate algorithm for the task at hand to optimize accuracy and performance. </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these recent research findings with previous work in the field of Iron Deficiency Anaemia (IDA) prediction, it becomes evident that diverse machine learning techniques have consistently shown promise in achieving high accuracy rates. The study by Geetha et al.</w:t>
      </w:r>
      <w:hyperlink r:id="rId24">
        <w:r w:rsidDel="00000000" w:rsidR="00000000" w:rsidRPr="00000000">
          <w:rPr>
            <w:rFonts w:ascii="Times New Roman" w:cs="Times New Roman" w:eastAsia="Times New Roman" w:hAnsi="Times New Roman"/>
            <w:sz w:val="24"/>
            <w:szCs w:val="24"/>
            <w:rtl w:val="0"/>
          </w:rPr>
          <w:t xml:space="preserve"> (Geetha et al. 2022)</w:t>
        </w:r>
      </w:hyperlink>
      <w:r w:rsidDel="00000000" w:rsidR="00000000" w:rsidRPr="00000000">
        <w:rPr>
          <w:rFonts w:ascii="Times New Roman" w:cs="Times New Roman" w:eastAsia="Times New Roman" w:hAnsi="Times New Roman"/>
          <w:sz w:val="24"/>
          <w:szCs w:val="24"/>
          <w:rtl w:val="0"/>
        </w:rPr>
        <w:t xml:space="preserve"> stands out with its remarkable accuracy of 94.7%, emphasizing the potential of Deep Learning, particularly Convolutional Neural Networks (CNNs), in IDA risk prediction. Appiahene et al.</w:t>
      </w:r>
      <w:hyperlink r:id="rId25">
        <w:r w:rsidDel="00000000" w:rsidR="00000000" w:rsidRPr="00000000">
          <w:rPr>
            <w:rFonts w:ascii="Times New Roman" w:cs="Times New Roman" w:eastAsia="Times New Roman" w:hAnsi="Times New Roman"/>
            <w:sz w:val="24"/>
            <w:szCs w:val="24"/>
            <w:rtl w:val="0"/>
          </w:rPr>
          <w:t xml:space="preserve"> (Appiahene et al. 2023)</w:t>
        </w:r>
      </w:hyperlink>
      <w:r w:rsidDel="00000000" w:rsidR="00000000" w:rsidRPr="00000000">
        <w:rPr>
          <w:rFonts w:ascii="Times New Roman" w:cs="Times New Roman" w:eastAsia="Times New Roman" w:hAnsi="Times New Roman"/>
          <w:sz w:val="24"/>
          <w:szCs w:val="24"/>
          <w:rtl w:val="0"/>
        </w:rPr>
        <w:t xml:space="preserve"> demonstrated strong performance with Ensemble Learning techniques, achieving an accuracy of 88.3%, highlighting the versatility of ensemble methods. Asare et al.</w:t>
      </w:r>
      <w:hyperlink r:id="rId26">
        <w:r w:rsidDel="00000000" w:rsidR="00000000" w:rsidRPr="00000000">
          <w:rPr>
            <w:rFonts w:ascii="Times New Roman" w:cs="Times New Roman" w:eastAsia="Times New Roman" w:hAnsi="Times New Roman"/>
            <w:sz w:val="24"/>
            <w:szCs w:val="24"/>
            <w:rtl w:val="0"/>
          </w:rPr>
          <w:t xml:space="preserve"> (Asare et al. 2023)</w:t>
        </w:r>
      </w:hyperlink>
      <w:r w:rsidDel="00000000" w:rsidR="00000000" w:rsidRPr="00000000">
        <w:rPr>
          <w:rFonts w:ascii="Times New Roman" w:cs="Times New Roman" w:eastAsia="Times New Roman" w:hAnsi="Times New Roman"/>
          <w:sz w:val="24"/>
          <w:szCs w:val="24"/>
          <w:rtl w:val="0"/>
        </w:rPr>
        <w:t xml:space="preserve"> introduced Genetic Algorithms combined with Support Vector Machines (GA-SVM) and achieved an accuracy of 87.9%, showcasing the effectiveness of hybrid approaches. Mohammed et al.</w:t>
      </w:r>
      <w:hyperlink r:id="rId27">
        <w:r w:rsidDel="00000000" w:rsidR="00000000" w:rsidRPr="00000000">
          <w:rPr>
            <w:rFonts w:ascii="Times New Roman" w:cs="Times New Roman" w:eastAsia="Times New Roman" w:hAnsi="Times New Roman"/>
            <w:sz w:val="24"/>
            <w:szCs w:val="24"/>
            <w:rtl w:val="0"/>
          </w:rPr>
          <w:t xml:space="preserve"> (Mohammed, Ahmad, and Murat 2020)</w:t>
        </w:r>
      </w:hyperlink>
      <w:r w:rsidDel="00000000" w:rsidR="00000000" w:rsidRPr="00000000">
        <w:rPr>
          <w:rFonts w:ascii="Times New Roman" w:cs="Times New Roman" w:eastAsia="Times New Roman" w:hAnsi="Times New Roman"/>
          <w:sz w:val="24"/>
          <w:szCs w:val="24"/>
          <w:rtl w:val="0"/>
        </w:rPr>
        <w:t xml:space="preserve"> employed Bayesian Networks, achieving an accuracy of 91.2%, indicating the reliability of probabilistic models. Collectively, these studies underscore the ongoing evolution and diversification of methodologies in IDA prediction, offering valuable insights for future research and practical applications in healthcare.</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limitation of this study is the relatively small sample size of 20 for each algorithm, which may affect the generalizability of the results. Future work could involve expanding the dataset to include a more extensive and diverse set of samples to further validate the observed differences in accuracy between PCA and DCNN. Additionally, exploring the reasons behind DCNN's superior performance and fine-tuning the model could provide insights into improving predictive accuracy even further. Further research could also investigate the applicability of DCNN in other medical diagnostic tasks and explore potential enhancements, such as combining it with other machine learning techniques or utilizing larger and more complex datasets for a more comprehensive evaluation.</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comparative analysis of the two algorithms, PCA and DCNN, for predicting accuracy in this study has yielded significant insights. The results demonstrate a substantial performance difference, with DCNN achieving an impressive average accuracy of approximately 92.29%, surpassing PCA's average accuracy of around 80.23%. This discrepancy underscores the effectiveness of DCNN in accurately predicting outcomes, making it a preferred choice for applications where precision is crucial. The findings highlight the importance of selecting the appropriate algorithm for the task, as it can significantly impact predictive accuracy and overall performance.</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6E">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Conflicts of Interest</w:t>
      </w:r>
    </w:p>
    <w:p w:rsidR="00000000" w:rsidDel="00000000" w:rsidP="00000000" w:rsidRDefault="00000000" w:rsidRPr="00000000" w14:paraId="0000006F">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conflict of interest in this manuscript</w:t>
      </w:r>
    </w:p>
    <w:p w:rsidR="00000000" w:rsidDel="00000000" w:rsidP="00000000" w:rsidRDefault="00000000" w:rsidRPr="00000000" w14:paraId="00000070">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 Contributions</w:t>
      </w:r>
    </w:p>
    <w:p w:rsidR="00000000" w:rsidDel="00000000" w:rsidP="00000000" w:rsidRDefault="00000000" w:rsidRPr="00000000" w14:paraId="00000071">
      <w:pPr>
        <w:spacing w:after="200" w:line="360"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DRY was involved in data collection, data analysis &amp; manuscript writing. Author AGS was involved in conceptualization, data validation, and critical review of manuscripts.</w:t>
      </w:r>
    </w:p>
    <w:p w:rsidR="00000000" w:rsidDel="00000000" w:rsidP="00000000" w:rsidRDefault="00000000" w:rsidRPr="00000000" w14:paraId="00000072">
      <w:pPr>
        <w:spacing w:after="20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73">
      <w:pPr>
        <w:spacing w:after="200" w:line="360"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DRYwould like to express their gratitude towards Saveetha School of Engineering, Saveetha Institute of Medical And Technical Sciences (Formerly known as Saveetha University) for successfully carrying out this work.</w:t>
      </w:r>
    </w:p>
    <w:p w:rsidR="00000000" w:rsidDel="00000000" w:rsidP="00000000" w:rsidRDefault="00000000" w:rsidRPr="00000000" w14:paraId="00000074">
      <w:pPr>
        <w:spacing w:after="200" w:before="160" w:line="360" w:lineRule="auto"/>
        <w:ind w:right="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The following organizations are thanked for providing financial support that enabled completion of the study.</w:t>
      </w:r>
      <w:r w:rsidDel="00000000" w:rsidR="00000000" w:rsidRPr="00000000">
        <w:rPr>
          <w:rtl w:val="0"/>
        </w:rPr>
      </w:r>
    </w:p>
    <w:p w:rsidR="00000000" w:rsidDel="00000000" w:rsidP="00000000" w:rsidRDefault="00000000" w:rsidRPr="00000000" w14:paraId="00000075">
      <w:pPr>
        <w:spacing w:after="200" w:before="160" w:line="360" w:lineRule="auto"/>
        <w:ind w:right="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Infysee Solution,Chennai</w:t>
      </w:r>
    </w:p>
    <w:p w:rsidR="00000000" w:rsidDel="00000000" w:rsidP="00000000" w:rsidRDefault="00000000" w:rsidRPr="00000000" w14:paraId="00000076">
      <w:pPr>
        <w:spacing w:after="200" w:before="40" w:line="360" w:lineRule="auto"/>
        <w:ind w:left="1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Saveetha University</w:t>
      </w:r>
    </w:p>
    <w:p w:rsidR="00000000" w:rsidDel="00000000" w:rsidP="00000000" w:rsidRDefault="00000000" w:rsidRPr="00000000" w14:paraId="00000077">
      <w:pPr>
        <w:spacing w:after="200" w:before="40" w:line="360" w:lineRule="auto"/>
        <w:ind w:left="1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78">
      <w:pPr>
        <w:spacing w:after="200" w:before="60" w:line="360" w:lineRule="auto"/>
        <w:ind w:left="1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79">
      <w:pPr>
        <w:spacing w:after="200" w:before="6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A">
      <w:pPr>
        <w:spacing w:after="240" w:before="240" w:line="360" w:lineRule="auto"/>
        <w:ind w:left="960" w:hanging="480"/>
        <w:jc w:val="both"/>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sz w:val="24"/>
            <w:szCs w:val="24"/>
            <w:rtl w:val="0"/>
          </w:rPr>
          <w:t xml:space="preserve">Appiahene, Peter, Justice Williams Asare, Emmanuel Timmy Donkoh, Giovanni Dimauro, and Rosalia Maglietta. 2023. “Detection of Iron Deficiency Anaemia by Medical Images: A Comparative Study of Machine Learning Algorithms.” </w:t>
        </w:r>
      </w:hyperlink>
      <w:hyperlink r:id="rId29">
        <w:r w:rsidDel="00000000" w:rsidR="00000000" w:rsidRPr="00000000">
          <w:rPr>
            <w:rFonts w:ascii="Times New Roman" w:cs="Times New Roman" w:eastAsia="Times New Roman" w:hAnsi="Times New Roman"/>
            <w:i w:val="1"/>
            <w:iCs w:val="1"/>
            <w:sz w:val="24"/>
            <w:szCs w:val="24"/>
            <w:rtl w:val="0"/>
          </w:rPr>
          <w:t xml:space="preserve">BioData Mining</w:t>
        </w:r>
      </w:hyperlink>
      <w:hyperlink r:id="rId30">
        <w:r w:rsidDel="00000000" w:rsidR="00000000" w:rsidRPr="00000000">
          <w:rPr>
            <w:rFonts w:ascii="Times New Roman" w:cs="Times New Roman" w:eastAsia="Times New Roman" w:hAnsi="Times New Roman"/>
            <w:sz w:val="24"/>
            <w:szCs w:val="24"/>
            <w:rtl w:val="0"/>
          </w:rPr>
          <w:t xml:space="preserve"> 16 (1): 1–20.</w:t>
        </w:r>
      </w:hyperlink>
      <w:r w:rsidDel="00000000" w:rsidR="00000000" w:rsidRPr="00000000">
        <w:rPr>
          <w:rtl w:val="0"/>
        </w:rPr>
      </w:r>
    </w:p>
    <w:p w:rsidR="00000000" w:rsidDel="00000000" w:rsidP="00000000" w:rsidRDefault="00000000" w:rsidRPr="00000000" w14:paraId="0000007B">
      <w:pPr>
        <w:spacing w:after="240" w:line="360" w:lineRule="auto"/>
        <w:ind w:left="960" w:hanging="480"/>
        <w:jc w:val="both"/>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sz w:val="24"/>
            <w:szCs w:val="24"/>
            <w:rtl w:val="0"/>
          </w:rPr>
          <w:t xml:space="preserve">Asare, Justice Williams, Peter Appiahene, Emmanuel Timmy Donkoh, and Giovanni Dimauro. 2023. “Iron Deficiency Anaemia Detection Using Machine Learning Models: A Comparative Study of Fingernails, Palm and Conjunctiva of the Eye Images.” </w:t>
        </w:r>
      </w:hyperlink>
      <w:hyperlink r:id="rId32">
        <w:r w:rsidDel="00000000" w:rsidR="00000000" w:rsidRPr="00000000">
          <w:rPr>
            <w:rFonts w:ascii="Times New Roman" w:cs="Times New Roman" w:eastAsia="Times New Roman" w:hAnsi="Times New Roman"/>
            <w:i w:val="1"/>
            <w:iCs w:val="1"/>
            <w:sz w:val="24"/>
            <w:szCs w:val="24"/>
            <w:rtl w:val="0"/>
          </w:rPr>
          <w:t xml:space="preserve">Engineering Reports: Open Access</w:t>
        </w:r>
      </w:hyperlink>
      <w:hyperlink r:id="rId33">
        <w:r w:rsidDel="00000000" w:rsidR="00000000" w:rsidRPr="00000000">
          <w:rPr>
            <w:rFonts w:ascii="Times New Roman" w:cs="Times New Roman" w:eastAsia="Times New Roman" w:hAnsi="Times New Roman"/>
            <w:sz w:val="24"/>
            <w:szCs w:val="24"/>
            <w:rtl w:val="0"/>
          </w:rPr>
          <w:t xml:space="preserve">, May. https://doi.org/</w:t>
        </w:r>
      </w:hyperlink>
      <w:hyperlink r:id="rId34">
        <w:r w:rsidDel="00000000" w:rsidR="00000000" w:rsidRPr="00000000">
          <w:rPr>
            <w:rFonts w:ascii="Times New Roman" w:cs="Times New Roman" w:eastAsia="Times New Roman" w:hAnsi="Times New Roman"/>
            <w:sz w:val="24"/>
            <w:szCs w:val="24"/>
            <w:rtl w:val="0"/>
          </w:rPr>
          <w:t xml:space="preserve">10.1002/eng2.12667</w:t>
        </w:r>
      </w:hyperlink>
      <w:hyperlink r:id="rId3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7C">
      <w:pPr>
        <w:spacing w:after="240" w:line="360" w:lineRule="auto"/>
        <w:ind w:left="960" w:hanging="480"/>
        <w:jc w:val="both"/>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sz w:val="24"/>
            <w:szCs w:val="24"/>
            <w:rtl w:val="0"/>
          </w:rPr>
          <w:t xml:space="preserve">Das, Reena, Sarkaft Saleh, Izabela Nielsen, Anilava Kaviraj, Prashant Sharma, Kartick Dey, and Subrata Saha. 2022. “Performance Analysis of Machine Learning Algorithms and Screening Formulae for β–thalassemia Trait Screening of Indian Antenatal Women.” </w:t>
        </w:r>
      </w:hyperlink>
      <w:hyperlink r:id="rId37">
        <w:r w:rsidDel="00000000" w:rsidR="00000000" w:rsidRPr="00000000">
          <w:rPr>
            <w:rFonts w:ascii="Times New Roman" w:cs="Times New Roman" w:eastAsia="Times New Roman" w:hAnsi="Times New Roman"/>
            <w:i w:val="1"/>
            <w:iCs w:val="1"/>
            <w:sz w:val="24"/>
            <w:szCs w:val="24"/>
            <w:rtl w:val="0"/>
          </w:rPr>
          <w:t xml:space="preserve">International Journal of Medical Informatics</w:t>
        </w:r>
      </w:hyperlink>
      <w:hyperlink r:id="rId38">
        <w:r w:rsidDel="00000000" w:rsidR="00000000" w:rsidRPr="00000000">
          <w:rPr>
            <w:rFonts w:ascii="Times New Roman" w:cs="Times New Roman" w:eastAsia="Times New Roman" w:hAnsi="Times New Roman"/>
            <w:sz w:val="24"/>
            <w:szCs w:val="24"/>
            <w:rtl w:val="0"/>
          </w:rPr>
          <w:t xml:space="preserve"> 167 (November): 104866.</w:t>
        </w:r>
      </w:hyperlink>
      <w:r w:rsidDel="00000000" w:rsidR="00000000" w:rsidRPr="00000000">
        <w:rPr>
          <w:rtl w:val="0"/>
        </w:rPr>
      </w:r>
    </w:p>
    <w:p w:rsidR="00000000" w:rsidDel="00000000" w:rsidP="00000000" w:rsidRDefault="00000000" w:rsidRPr="00000000" w14:paraId="0000007D">
      <w:pPr>
        <w:spacing w:after="240" w:line="360" w:lineRule="auto"/>
        <w:ind w:left="960" w:hanging="480"/>
        <w:jc w:val="both"/>
        <w:rPr/>
      </w:pPr>
      <w:hyperlink r:id="rId39">
        <w:r w:rsidDel="00000000" w:rsidR="00000000" w:rsidRPr="00000000">
          <w:rPr>
            <w:rFonts w:ascii="Times New Roman" w:cs="Times New Roman" w:eastAsia="Times New Roman" w:hAnsi="Times New Roman"/>
            <w:sz w:val="24"/>
            <w:szCs w:val="24"/>
            <w:rtl w:val="0"/>
          </w:rPr>
          <w:t xml:space="preserve">Devanath, Ananyna, Shahnaz Akter, Pushpita Karmaker, and Abdus Sattar. 2022. </w:t>
        </w:r>
      </w:hyperlink>
      <w:r w:rsidDel="00000000" w:rsidR="00000000" w:rsidRPr="00000000">
        <w:rPr>
          <w:rtl w:val="0"/>
        </w:rPr>
      </w:r>
    </w:p>
    <w:p w:rsidR="00000000" w:rsidDel="00000000" w:rsidP="00000000" w:rsidRDefault="00000000" w:rsidRPr="00000000" w14:paraId="0000007E">
      <w:pPr>
        <w:spacing w:after="240" w:line="360" w:lineRule="auto"/>
        <w:ind w:left="960" w:hanging="480"/>
        <w:jc w:val="both"/>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rtl w:val="0"/>
          </w:rPr>
          <w:t xml:space="preserve">“Thalassemia Prediction Using Machine Learning Approaches.” In </w:t>
        </w:r>
      </w:hyperlink>
      <w:hyperlink r:id="rId41">
        <w:r w:rsidDel="00000000" w:rsidR="00000000" w:rsidRPr="00000000">
          <w:rPr>
            <w:rFonts w:ascii="Times New Roman" w:cs="Times New Roman" w:eastAsia="Times New Roman" w:hAnsi="Times New Roman"/>
            <w:i w:val="1"/>
            <w:iCs w:val="1"/>
            <w:sz w:val="24"/>
            <w:szCs w:val="24"/>
            <w:rtl w:val="0"/>
          </w:rPr>
          <w:t xml:space="preserve">2022 6th International Conference on Computing Methodologies and Communication (ICCMC)</w:t>
        </w:r>
      </w:hyperlink>
      <w:hyperlink r:id="rId42">
        <w:r w:rsidDel="00000000" w:rsidR="00000000" w:rsidRPr="00000000">
          <w:rPr>
            <w:rFonts w:ascii="Times New Roman" w:cs="Times New Roman" w:eastAsia="Times New Roman" w:hAnsi="Times New Roman"/>
            <w:sz w:val="24"/>
            <w:szCs w:val="24"/>
            <w:rtl w:val="0"/>
          </w:rPr>
          <w:t xml:space="preserve">, 1166–74. IEEE.</w:t>
        </w:r>
      </w:hyperlink>
      <w:r w:rsidDel="00000000" w:rsidR="00000000" w:rsidRPr="00000000">
        <w:rPr>
          <w:rtl w:val="0"/>
        </w:rPr>
      </w:r>
    </w:p>
    <w:p w:rsidR="00000000" w:rsidDel="00000000" w:rsidP="00000000" w:rsidRDefault="00000000" w:rsidRPr="00000000" w14:paraId="0000007F">
      <w:pPr>
        <w:spacing w:after="240" w:line="360" w:lineRule="auto"/>
        <w:ind w:left="960" w:hanging="480"/>
        <w:jc w:val="both"/>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sz w:val="24"/>
            <w:szCs w:val="24"/>
            <w:rtl w:val="0"/>
          </w:rPr>
          <w:t xml:space="preserve">Devi, Munisamy Shyamala, Venkatesan Dhilip Kumar, Adrian Brezulianu, Oana Geman, and Muhammad Arif. 2023. “A Novel Blunge Calibration Intelligent Feature Classification Model for the Prediction of Hypothyroid Disease.” </w:t>
        </w:r>
      </w:hyperlink>
      <w:hyperlink r:id="rId44">
        <w:r w:rsidDel="00000000" w:rsidR="00000000" w:rsidRPr="00000000">
          <w:rPr>
            <w:rFonts w:ascii="Times New Roman" w:cs="Times New Roman" w:eastAsia="Times New Roman" w:hAnsi="Times New Roman"/>
            <w:i w:val="1"/>
            <w:iCs w:val="1"/>
            <w:sz w:val="24"/>
            <w:szCs w:val="24"/>
            <w:rtl w:val="0"/>
          </w:rPr>
          <w:t xml:space="preserve">Sensors </w:t>
        </w:r>
      </w:hyperlink>
      <w:hyperlink r:id="rId45">
        <w:r w:rsidDel="00000000" w:rsidR="00000000" w:rsidRPr="00000000">
          <w:rPr>
            <w:rFonts w:ascii="Times New Roman" w:cs="Times New Roman" w:eastAsia="Times New Roman" w:hAnsi="Times New Roman"/>
            <w:sz w:val="24"/>
            <w:szCs w:val="24"/>
            <w:rtl w:val="0"/>
          </w:rPr>
          <w:t xml:space="preserve"> 23 (3). https://doi.org/</w:t>
        </w:r>
      </w:hyperlink>
      <w:hyperlink r:id="rId46">
        <w:r w:rsidDel="00000000" w:rsidR="00000000" w:rsidRPr="00000000">
          <w:rPr>
            <w:rFonts w:ascii="Times New Roman" w:cs="Times New Roman" w:eastAsia="Times New Roman" w:hAnsi="Times New Roman"/>
            <w:sz w:val="24"/>
            <w:szCs w:val="24"/>
            <w:rtl w:val="0"/>
          </w:rPr>
          <w:t xml:space="preserve">10.3390/s23031128</w:t>
        </w:r>
      </w:hyperlink>
      <w:hyperlink r:id="rId47">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0">
      <w:pPr>
        <w:spacing w:after="240" w:line="360" w:lineRule="auto"/>
        <w:ind w:left="960" w:hanging="480"/>
        <w:jc w:val="both"/>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Divina, Paul Daniel C., John Philip T. Felices, Carlos C. Hortinela, Janette C. Fausto, Flordeliza L. Valiente, and Jessie R. Balbin. 2020. “Classification of Red Blood Cell Morphology Using Image Processing and Support Vector Machines.” In </w:t>
        </w:r>
      </w:hyperlink>
      <w:hyperlink r:id="rId49">
        <w:r w:rsidDel="00000000" w:rsidR="00000000" w:rsidRPr="00000000">
          <w:rPr>
            <w:rFonts w:ascii="Times New Roman" w:cs="Times New Roman" w:eastAsia="Times New Roman" w:hAnsi="Times New Roman"/>
            <w:i w:val="1"/>
            <w:iCs w:val="1"/>
            <w:sz w:val="24"/>
            <w:szCs w:val="24"/>
            <w:rtl w:val="0"/>
          </w:rPr>
          <w:t xml:space="preserve">Proceedings of the 2020 10th International Conference on Biomedical Engineering and Technology</w:t>
        </w:r>
      </w:hyperlink>
      <w:hyperlink r:id="rId50">
        <w:r w:rsidDel="00000000" w:rsidR="00000000" w:rsidRPr="00000000">
          <w:rPr>
            <w:rFonts w:ascii="Times New Roman" w:cs="Times New Roman" w:eastAsia="Times New Roman" w:hAnsi="Times New Roman"/>
            <w:sz w:val="24"/>
            <w:szCs w:val="24"/>
            <w:rtl w:val="0"/>
          </w:rPr>
          <w:t xml:space="preserve">, 22–27. ICBET 2020. New York, NY, USA: Association for Computing Machinery.</w:t>
        </w:r>
      </w:hyperlink>
      <w:r w:rsidDel="00000000" w:rsidR="00000000" w:rsidRPr="00000000">
        <w:rPr>
          <w:rtl w:val="0"/>
        </w:rPr>
      </w:r>
    </w:p>
    <w:p w:rsidR="00000000" w:rsidDel="00000000" w:rsidP="00000000" w:rsidRDefault="00000000" w:rsidRPr="00000000" w14:paraId="00000081">
      <w:pPr>
        <w:spacing w:after="240" w:line="360" w:lineRule="auto"/>
        <w:ind w:left="960" w:hanging="480"/>
        <w:jc w:val="both"/>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sz w:val="24"/>
            <w:szCs w:val="24"/>
            <w:rtl w:val="0"/>
          </w:rPr>
          <w:t xml:space="preserve">Endalamaw, B., and T. M. Abuhay. 2022. “Predicting the Level of Anaemia among Ethiopian Pregnant Women Using Homogeneous Ensemble Machine Learning Algorithm.” </w:t>
        </w:r>
      </w:hyperlink>
      <w:hyperlink r:id="rId52">
        <w:r w:rsidDel="00000000" w:rsidR="00000000" w:rsidRPr="00000000">
          <w:rPr>
            <w:rFonts w:ascii="Times New Roman" w:cs="Times New Roman" w:eastAsia="Times New Roman" w:hAnsi="Times New Roman"/>
            <w:i w:val="1"/>
            <w:iCs w:val="1"/>
            <w:sz w:val="24"/>
            <w:szCs w:val="24"/>
            <w:rtl w:val="0"/>
          </w:rPr>
          <w:t xml:space="preserve">Of the 2 Nd Deep Learning …</w:t>
        </w:r>
      </w:hyperlink>
      <w:hyperlink r:id="rId53">
        <w:r w:rsidDel="00000000" w:rsidR="00000000" w:rsidRPr="00000000">
          <w:rPr>
            <w:rFonts w:ascii="Times New Roman" w:cs="Times New Roman" w:eastAsia="Times New Roman" w:hAnsi="Times New Roman"/>
            <w:sz w:val="24"/>
            <w:szCs w:val="24"/>
            <w:rtl w:val="0"/>
          </w:rPr>
          <w:t xml:space="preserve">.</w:t>
        </w:r>
      </w:hyperlink>
      <w:hyperlink r:id="rId54">
        <w:r w:rsidDel="00000000" w:rsidR="00000000" w:rsidRPr="00000000">
          <w:rPr>
            <w:rFonts w:ascii="Times New Roman" w:cs="Times New Roman" w:eastAsia="Times New Roman" w:hAnsi="Times New Roman"/>
            <w:sz w:val="24"/>
            <w:szCs w:val="24"/>
            <w:rtl w:val="0"/>
          </w:rPr>
          <w:t xml:space="preserve"> https://www.researchgate.net/profile/Mulualem-Bitew/publication/359976349_Machine_Learning_Approach_for_Green_Usage_of_Computing_Devices/links/6259646c4173a21a0d14efb1/Machine-Learning-Approach-for-Green-Usage-of-Computing-Devices.pdf#page=143</w:t>
        </w:r>
      </w:hyperlink>
      <w:hyperlink r:id="rId5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2">
      <w:pPr>
        <w:spacing w:after="240" w:line="360" w:lineRule="auto"/>
        <w:ind w:left="960" w:hanging="480"/>
        <w:jc w:val="both"/>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sz w:val="24"/>
            <w:szCs w:val="24"/>
            <w:rtl w:val="0"/>
          </w:rPr>
          <w:t xml:space="preserve">Geetha, V., C. K. Gomathy, Kommuru Keerthi, and Nallamsetty Pavithra. 2022. “Diagnostic Approach to Anaemia In Adults Using Machine Learning.” </w:t>
        </w:r>
      </w:hyperlink>
      <w:hyperlink r:id="rId57">
        <w:r w:rsidDel="00000000" w:rsidR="00000000" w:rsidRPr="00000000">
          <w:rPr>
            <w:rFonts w:ascii="Times New Roman" w:cs="Times New Roman" w:eastAsia="Times New Roman" w:hAnsi="Times New Roman"/>
            <w:i w:val="1"/>
            <w:iCs w:val="1"/>
            <w:sz w:val="24"/>
            <w:szCs w:val="24"/>
            <w:rtl w:val="0"/>
          </w:rPr>
          <w:t xml:space="preserve">Journal of Pharmaceutical Negative Results</w:t>
        </w:r>
      </w:hyperlink>
      <w:hyperlink r:id="rId58">
        <w:r w:rsidDel="00000000" w:rsidR="00000000" w:rsidRPr="00000000">
          <w:rPr>
            <w:rFonts w:ascii="Times New Roman" w:cs="Times New Roman" w:eastAsia="Times New Roman" w:hAnsi="Times New Roman"/>
            <w:sz w:val="24"/>
            <w:szCs w:val="24"/>
            <w:rtl w:val="0"/>
          </w:rPr>
          <w:t xml:space="preserve">, December, 3713–17.</w:t>
        </w:r>
      </w:hyperlink>
      <w:r w:rsidDel="00000000" w:rsidR="00000000" w:rsidRPr="00000000">
        <w:rPr>
          <w:rtl w:val="0"/>
        </w:rPr>
      </w:r>
    </w:p>
    <w:p w:rsidR="00000000" w:rsidDel="00000000" w:rsidP="00000000" w:rsidRDefault="00000000" w:rsidRPr="00000000" w14:paraId="00000083">
      <w:pPr>
        <w:spacing w:after="240" w:line="360" w:lineRule="auto"/>
        <w:ind w:left="960" w:hanging="480"/>
        <w:jc w:val="both"/>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sz w:val="24"/>
            <w:szCs w:val="24"/>
            <w:rtl w:val="0"/>
          </w:rPr>
          <w:t xml:space="preserve">Goodwin, T. R., and D. Demner-Fushman. 2020. “A Customizable Deep Learning Model for Nosocomial Risk Prediction from Critical Care Notes with Indirect Supervision.” </w:t>
        </w:r>
      </w:hyperlink>
      <w:hyperlink r:id="rId60">
        <w:r w:rsidDel="00000000" w:rsidR="00000000" w:rsidRPr="00000000">
          <w:rPr>
            <w:rFonts w:ascii="Times New Roman" w:cs="Times New Roman" w:eastAsia="Times New Roman" w:hAnsi="Times New Roman"/>
            <w:i w:val="1"/>
            <w:iCs w:val="1"/>
            <w:sz w:val="24"/>
            <w:szCs w:val="24"/>
            <w:rtl w:val="0"/>
          </w:rPr>
          <w:t xml:space="preserve">Journal of the American</w:t>
        </w:r>
      </w:hyperlink>
      <w:hyperlink r:id="rId61">
        <w:r w:rsidDel="00000000" w:rsidR="00000000" w:rsidRPr="00000000">
          <w:rPr>
            <w:rFonts w:ascii="Times New Roman" w:cs="Times New Roman" w:eastAsia="Times New Roman" w:hAnsi="Times New Roman"/>
            <w:sz w:val="24"/>
            <w:szCs w:val="24"/>
            <w:rtl w:val="0"/>
          </w:rPr>
          <w:t xml:space="preserve">.</w:t>
        </w:r>
      </w:hyperlink>
      <w:hyperlink r:id="rId62">
        <w:r w:rsidDel="00000000" w:rsidR="00000000" w:rsidRPr="00000000">
          <w:rPr>
            <w:rFonts w:ascii="Times New Roman" w:cs="Times New Roman" w:eastAsia="Times New Roman" w:hAnsi="Times New Roman"/>
            <w:sz w:val="24"/>
            <w:szCs w:val="24"/>
            <w:rtl w:val="0"/>
          </w:rPr>
          <w:t xml:space="preserve"> https://academic.oup.com/jamia/article-abstract/27/4/567/5739340</w:t>
        </w:r>
      </w:hyperlink>
      <w:hyperlink r:id="rId63">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4">
      <w:pPr>
        <w:spacing w:after="240" w:line="360" w:lineRule="auto"/>
        <w:ind w:left="960" w:hanging="480"/>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tl w:val="0"/>
          </w:rPr>
          <w:t xml:space="preserve">Hochman, Eldar, Becca Feldman, Abraham Weizman, Amir Krivoy, Shay Gur, Eran Barzilay, Hagit Gabay, Joseph Levy, Ohad Levinkron, and Gabriella Lawrence. 2021. “Development and Validation of a Machine Learning-Based Postpartum Depression Prediction Model: A Nationwide Cohort Study.” </w:t>
        </w:r>
      </w:hyperlink>
      <w:hyperlink r:id="rId65">
        <w:r w:rsidDel="00000000" w:rsidR="00000000" w:rsidRPr="00000000">
          <w:rPr>
            <w:rFonts w:ascii="Times New Roman" w:cs="Times New Roman" w:eastAsia="Times New Roman" w:hAnsi="Times New Roman"/>
            <w:i w:val="1"/>
            <w:iCs w:val="1"/>
            <w:sz w:val="24"/>
            <w:szCs w:val="24"/>
            <w:rtl w:val="0"/>
          </w:rPr>
          <w:t xml:space="preserve">Depression and Anxiety</w:t>
        </w:r>
      </w:hyperlink>
      <w:hyperlink r:id="rId66">
        <w:r w:rsidDel="00000000" w:rsidR="00000000" w:rsidRPr="00000000">
          <w:rPr>
            <w:rFonts w:ascii="Times New Roman" w:cs="Times New Roman" w:eastAsia="Times New Roman" w:hAnsi="Times New Roman"/>
            <w:sz w:val="24"/>
            <w:szCs w:val="24"/>
            <w:rtl w:val="0"/>
          </w:rPr>
          <w:t xml:space="preserve"> 38 (4): 400–411.</w:t>
        </w:r>
      </w:hyperlink>
      <w:r w:rsidDel="00000000" w:rsidR="00000000" w:rsidRPr="00000000">
        <w:rPr>
          <w:rtl w:val="0"/>
        </w:rPr>
      </w:r>
    </w:p>
    <w:p w:rsidR="00000000" w:rsidDel="00000000" w:rsidP="00000000" w:rsidRDefault="00000000" w:rsidRPr="00000000" w14:paraId="00000085">
      <w:pPr>
        <w:spacing w:after="240" w:line="360" w:lineRule="auto"/>
        <w:ind w:left="960" w:hanging="480"/>
        <w:jc w:val="both"/>
        <w:rPr>
          <w:rFonts w:ascii="Times New Roman" w:cs="Times New Roman" w:eastAsia="Times New Roman" w:hAnsi="Times New Roman"/>
          <w:sz w:val="24"/>
          <w:szCs w:val="24"/>
        </w:rPr>
      </w:pPr>
      <w:hyperlink r:id="rId67">
        <w:r w:rsidDel="00000000" w:rsidR="00000000" w:rsidRPr="00000000">
          <w:rPr>
            <w:rFonts w:ascii="Times New Roman" w:cs="Times New Roman" w:eastAsia="Times New Roman" w:hAnsi="Times New Roman"/>
            <w:sz w:val="24"/>
            <w:szCs w:val="24"/>
            <w:rtl w:val="0"/>
          </w:rPr>
          <w:t xml:space="preserve">Li, Chunyan, Qing Feng, Jun Zhang, and Xinyou Xie. 2023. “A Multivariate Analysis of the Risk of Iron Deficiency in Plateletpheresis Donors Based on Logistic Regression.” </w:t>
        </w:r>
      </w:hyperlink>
      <w:hyperlink r:id="rId68">
        <w:r w:rsidDel="00000000" w:rsidR="00000000" w:rsidRPr="00000000">
          <w:rPr>
            <w:rFonts w:ascii="Times New Roman" w:cs="Times New Roman" w:eastAsia="Times New Roman" w:hAnsi="Times New Roman"/>
            <w:i w:val="1"/>
            <w:iCs w:val="1"/>
            <w:sz w:val="24"/>
            <w:szCs w:val="24"/>
            <w:rtl w:val="0"/>
          </w:rPr>
          <w:t xml:space="preserve">Transfusion and Apheresis Science: Official Journal of the World Apheresis Association: Official Journal of the European Society for </w:t>
        </w:r>
      </w:hyperlink>
      <w:hyperlink r:id="rId69">
        <w:r w:rsidDel="00000000" w:rsidR="00000000" w:rsidRPr="00000000">
          <w:rPr>
            <w:rFonts w:ascii="Times New Roman" w:cs="Times New Roman" w:eastAsia="Times New Roman" w:hAnsi="Times New Roman"/>
            <w:i w:val="1"/>
            <w:iCs w:val="1"/>
            <w:sz w:val="24"/>
            <w:szCs w:val="24"/>
            <w:rtl w:val="0"/>
          </w:rPr>
          <w:t xml:space="preserve">Haemapheresis</w:t>
        </w:r>
      </w:hyperlink>
      <w:hyperlink r:id="rId70">
        <w:r w:rsidDel="00000000" w:rsidR="00000000" w:rsidRPr="00000000">
          <w:rPr>
            <w:rFonts w:ascii="Times New Roman" w:cs="Times New Roman" w:eastAsia="Times New Roman" w:hAnsi="Times New Roman"/>
            <w:sz w:val="24"/>
            <w:szCs w:val="24"/>
            <w:rtl w:val="0"/>
          </w:rPr>
          <w:t xml:space="preserve"> 62 (1): 103522.</w:t>
        </w:r>
      </w:hyperlink>
      <w:r w:rsidDel="00000000" w:rsidR="00000000" w:rsidRPr="00000000">
        <w:rPr>
          <w:rtl w:val="0"/>
        </w:rPr>
      </w:r>
    </w:p>
    <w:p w:rsidR="00000000" w:rsidDel="00000000" w:rsidP="00000000" w:rsidRDefault="00000000" w:rsidRPr="00000000" w14:paraId="00000086">
      <w:pPr>
        <w:spacing w:after="240" w:line="360" w:lineRule="auto"/>
        <w:ind w:left="960" w:hanging="480"/>
        <w:jc w:val="both"/>
        <w:rPr>
          <w:rFonts w:ascii="Times New Roman" w:cs="Times New Roman" w:eastAsia="Times New Roman" w:hAnsi="Times New Roman"/>
          <w:sz w:val="24"/>
          <w:szCs w:val="24"/>
        </w:rPr>
      </w:pPr>
      <w:hyperlink r:id="rId71">
        <w:r w:rsidDel="00000000" w:rsidR="00000000" w:rsidRPr="00000000">
          <w:rPr>
            <w:rFonts w:ascii="Times New Roman" w:cs="Times New Roman" w:eastAsia="Times New Roman" w:hAnsi="Times New Roman"/>
            <w:sz w:val="24"/>
            <w:szCs w:val="24"/>
            <w:rtl w:val="0"/>
          </w:rPr>
          <w:t xml:space="preserve">Mahir, Merhunisa, Lejla Mahmutović, Klara Lovrić, Amna Lenjinac, Benjamin Mahić, and Nerma Mačković. 2021. “Diagnosis of Iron-Deficiency Anaemia Using Artificial Neural Network.” In </w:t>
        </w:r>
      </w:hyperlink>
      <w:hyperlink r:id="rId72">
        <w:r w:rsidDel="00000000" w:rsidR="00000000" w:rsidRPr="00000000">
          <w:rPr>
            <w:rFonts w:ascii="Times New Roman" w:cs="Times New Roman" w:eastAsia="Times New Roman" w:hAnsi="Times New Roman"/>
            <w:i w:val="1"/>
            <w:iCs w:val="1"/>
            <w:sz w:val="24"/>
            <w:szCs w:val="24"/>
            <w:rtl w:val="0"/>
          </w:rPr>
          <w:t xml:space="preserve">CMBEBIH 2021</w:t>
        </w:r>
      </w:hyperlink>
      <w:hyperlink r:id="rId73">
        <w:r w:rsidDel="00000000" w:rsidR="00000000" w:rsidRPr="00000000">
          <w:rPr>
            <w:rFonts w:ascii="Times New Roman" w:cs="Times New Roman" w:eastAsia="Times New Roman" w:hAnsi="Times New Roman"/>
            <w:sz w:val="24"/>
            <w:szCs w:val="24"/>
            <w:rtl w:val="0"/>
          </w:rPr>
          <w:t xml:space="preserve">, 339–46. Springer International Publishing.</w:t>
        </w:r>
      </w:hyperlink>
      <w:r w:rsidDel="00000000" w:rsidR="00000000" w:rsidRPr="00000000">
        <w:rPr>
          <w:rtl w:val="0"/>
        </w:rPr>
      </w:r>
    </w:p>
    <w:p w:rsidR="00000000" w:rsidDel="00000000" w:rsidP="00000000" w:rsidRDefault="00000000" w:rsidRPr="00000000" w14:paraId="00000087">
      <w:pPr>
        <w:spacing w:after="240" w:line="360" w:lineRule="auto"/>
        <w:ind w:left="960" w:hanging="480"/>
        <w:jc w:val="both"/>
        <w:rPr>
          <w:rFonts w:ascii="Times New Roman" w:cs="Times New Roman" w:eastAsia="Times New Roman" w:hAnsi="Times New Roman"/>
          <w:sz w:val="24"/>
          <w:szCs w:val="24"/>
        </w:rPr>
      </w:pPr>
      <w:hyperlink r:id="rId74">
        <w:r w:rsidDel="00000000" w:rsidR="00000000" w:rsidRPr="00000000">
          <w:rPr>
            <w:rFonts w:ascii="Times New Roman" w:cs="Times New Roman" w:eastAsia="Times New Roman" w:hAnsi="Times New Roman"/>
            <w:sz w:val="24"/>
            <w:szCs w:val="24"/>
            <w:rtl w:val="0"/>
          </w:rPr>
          <w:t xml:space="preserve">Mohammed, Mohammed Sami, Arshed A. Ahmad, and Sari Murat. 2020. “Analysis of Anaemia Using Data Mining Techniques with Risk Factors Specification.” In </w:t>
        </w:r>
      </w:hyperlink>
      <w:hyperlink r:id="rId75">
        <w:r w:rsidDel="00000000" w:rsidR="00000000" w:rsidRPr="00000000">
          <w:rPr>
            <w:rFonts w:ascii="Times New Roman" w:cs="Times New Roman" w:eastAsia="Times New Roman" w:hAnsi="Times New Roman"/>
            <w:i w:val="1"/>
            <w:iCs w:val="1"/>
            <w:sz w:val="24"/>
            <w:szCs w:val="24"/>
            <w:rtl w:val="0"/>
          </w:rPr>
          <w:t xml:space="preserve">2020 International Conference for Emerging Technology (INCET)</w:t>
        </w:r>
      </w:hyperlink>
      <w:hyperlink r:id="rId76">
        <w:r w:rsidDel="00000000" w:rsidR="00000000" w:rsidRPr="00000000">
          <w:rPr>
            <w:rFonts w:ascii="Times New Roman" w:cs="Times New Roman" w:eastAsia="Times New Roman" w:hAnsi="Times New Roman"/>
            <w:sz w:val="24"/>
            <w:szCs w:val="24"/>
            <w:rtl w:val="0"/>
          </w:rPr>
          <w:t xml:space="preserve">, 1–5. IEEE.</w:t>
        </w:r>
      </w:hyperlink>
      <w:r w:rsidDel="00000000" w:rsidR="00000000" w:rsidRPr="00000000">
        <w:rPr>
          <w:rtl w:val="0"/>
        </w:rPr>
      </w:r>
    </w:p>
    <w:p w:rsidR="00000000" w:rsidDel="00000000" w:rsidP="00000000" w:rsidRDefault="00000000" w:rsidRPr="00000000" w14:paraId="00000088">
      <w:pPr>
        <w:spacing w:after="240" w:line="360" w:lineRule="auto"/>
        <w:ind w:left="960" w:hanging="480"/>
        <w:jc w:val="both"/>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sz w:val="24"/>
            <w:szCs w:val="24"/>
            <w:rtl w:val="0"/>
          </w:rPr>
          <w:t xml:space="preserve">Moscheo, Carla, Maria Licciardello, Piera Samperi, Milena La Spina, Andrea Di Cataldo, e Giovanna Russo. 2022. “New Insights into Iron Deficiency Anaemia in Children: A Practical Review.” </w:t>
        </w:r>
      </w:hyperlink>
      <w:hyperlink r:id="rId78">
        <w:r w:rsidDel="00000000" w:rsidR="00000000" w:rsidRPr="00000000">
          <w:rPr>
            <w:rFonts w:ascii="Times New Roman" w:cs="Times New Roman" w:eastAsia="Times New Roman" w:hAnsi="Times New Roman"/>
            <w:i w:val="1"/>
            <w:iCs w:val="1"/>
            <w:sz w:val="24"/>
            <w:szCs w:val="24"/>
            <w:rtl w:val="0"/>
          </w:rPr>
          <w:t xml:space="preserve">Metabolites</w:t>
        </w:r>
      </w:hyperlink>
      <w:hyperlink r:id="rId79">
        <w:r w:rsidDel="00000000" w:rsidR="00000000" w:rsidRPr="00000000">
          <w:rPr>
            <w:rFonts w:ascii="Times New Roman" w:cs="Times New Roman" w:eastAsia="Times New Roman" w:hAnsi="Times New Roman"/>
            <w:sz w:val="24"/>
            <w:szCs w:val="24"/>
            <w:rtl w:val="0"/>
          </w:rPr>
          <w:t xml:space="preserve"> 12 (4). https://doi.org/</w:t>
        </w:r>
      </w:hyperlink>
      <w:hyperlink r:id="rId80">
        <w:r w:rsidDel="00000000" w:rsidR="00000000" w:rsidRPr="00000000">
          <w:rPr>
            <w:rFonts w:ascii="Times New Roman" w:cs="Times New Roman" w:eastAsia="Times New Roman" w:hAnsi="Times New Roman"/>
            <w:sz w:val="24"/>
            <w:szCs w:val="24"/>
            <w:rtl w:val="0"/>
          </w:rPr>
          <w:t xml:space="preserve">10.3390/metabo12040289</w:t>
        </w:r>
      </w:hyperlink>
      <w:hyperlink r:id="rId81">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9">
      <w:pPr>
        <w:spacing w:after="240" w:line="360" w:lineRule="auto"/>
        <w:ind w:left="960" w:hanging="480"/>
        <w:jc w:val="both"/>
        <w:rPr>
          <w:rFonts w:ascii="Times New Roman" w:cs="Times New Roman" w:eastAsia="Times New Roman" w:hAnsi="Times New Roman"/>
          <w:sz w:val="24"/>
          <w:szCs w:val="24"/>
        </w:rPr>
      </w:pPr>
      <w:hyperlink r:id="rId82">
        <w:r w:rsidDel="00000000" w:rsidR="00000000" w:rsidRPr="00000000">
          <w:rPr>
            <w:rFonts w:ascii="Times New Roman" w:cs="Times New Roman" w:eastAsia="Times New Roman" w:hAnsi="Times New Roman"/>
            <w:sz w:val="24"/>
            <w:szCs w:val="24"/>
            <w:rtl w:val="0"/>
          </w:rPr>
          <w:t xml:space="preserve">Nivaggioni, Vanessa, Edwin Van Mirre, Julie Brousseau, and Marie Loosveld. 2022. “Detection of Southern Asian Ovalocytosis with Sysmex XN-10: A Complement to the Decision Tree Previously Described.” </w:t>
        </w:r>
      </w:hyperlink>
      <w:hyperlink r:id="rId83">
        <w:r w:rsidDel="00000000" w:rsidR="00000000" w:rsidRPr="00000000">
          <w:rPr>
            <w:rFonts w:ascii="Times New Roman" w:cs="Times New Roman" w:eastAsia="Times New Roman" w:hAnsi="Times New Roman"/>
            <w:i w:val="1"/>
            <w:iCs w:val="1"/>
            <w:sz w:val="24"/>
            <w:szCs w:val="24"/>
            <w:rtl w:val="0"/>
          </w:rPr>
          <w:t xml:space="preserve">International Journal of Laboratory Hematology</w:t>
        </w:r>
      </w:hyperlink>
      <w:hyperlink r:id="rId84">
        <w:r w:rsidDel="00000000" w:rsidR="00000000" w:rsidRPr="00000000">
          <w:rPr>
            <w:rFonts w:ascii="Times New Roman" w:cs="Times New Roman" w:eastAsia="Times New Roman" w:hAnsi="Times New Roman"/>
            <w:sz w:val="24"/>
            <w:szCs w:val="24"/>
            <w:rtl w:val="0"/>
          </w:rPr>
          <w:t xml:space="preserve"> 44 (2): e84–86.</w:t>
        </w:r>
      </w:hyperlink>
      <w:r w:rsidDel="00000000" w:rsidR="00000000" w:rsidRPr="00000000">
        <w:rPr>
          <w:rtl w:val="0"/>
        </w:rPr>
      </w:r>
    </w:p>
    <w:p w:rsidR="00000000" w:rsidDel="00000000" w:rsidP="00000000" w:rsidRDefault="00000000" w:rsidRPr="00000000" w14:paraId="0000008A">
      <w:pPr>
        <w:spacing w:after="240" w:line="360" w:lineRule="auto"/>
        <w:ind w:left="960" w:hanging="480"/>
        <w:jc w:val="both"/>
        <w:rPr>
          <w:rFonts w:ascii="Times New Roman" w:cs="Times New Roman" w:eastAsia="Times New Roman" w:hAnsi="Times New Roman"/>
          <w:sz w:val="24"/>
          <w:szCs w:val="24"/>
        </w:rPr>
      </w:pPr>
      <w:hyperlink r:id="rId85">
        <w:r w:rsidDel="00000000" w:rsidR="00000000" w:rsidRPr="00000000">
          <w:rPr>
            <w:rFonts w:ascii="Times New Roman" w:cs="Times New Roman" w:eastAsia="Times New Roman" w:hAnsi="Times New Roman"/>
            <w:sz w:val="24"/>
            <w:szCs w:val="24"/>
            <w:rtl w:val="0"/>
          </w:rPr>
          <w:t xml:space="preserve">Omar, Omneya M., Hala Assem, Doaa Ahmed, and Marwa S. Abd Elmaksoud. 2021. “Lactoferrin versus Iron Hydroxide Polymaltose Complex for the Treatment of Iron Deficiency Anaemia in Children with Cerebral Palsy: A Randomised Controlled Trial.” </w:t>
        </w:r>
      </w:hyperlink>
      <w:hyperlink r:id="rId86">
        <w:r w:rsidDel="00000000" w:rsidR="00000000" w:rsidRPr="00000000">
          <w:rPr>
            <w:rFonts w:ascii="Times New Roman" w:cs="Times New Roman" w:eastAsia="Times New Roman" w:hAnsi="Times New Roman"/>
            <w:i w:val="1"/>
            <w:iCs w:val="1"/>
            <w:sz w:val="24"/>
            <w:szCs w:val="24"/>
            <w:rtl w:val="0"/>
          </w:rPr>
          <w:t xml:space="preserve">European Journal of Pediatrics</w:t>
        </w:r>
      </w:hyperlink>
      <w:hyperlink r:id="rId87">
        <w:r w:rsidDel="00000000" w:rsidR="00000000" w:rsidRPr="00000000">
          <w:rPr>
            <w:rFonts w:ascii="Times New Roman" w:cs="Times New Roman" w:eastAsia="Times New Roman" w:hAnsi="Times New Roman"/>
            <w:sz w:val="24"/>
            <w:szCs w:val="24"/>
            <w:rtl w:val="0"/>
          </w:rPr>
          <w:t xml:space="preserve"> 180 (8): 2609–18.</w:t>
        </w:r>
      </w:hyperlink>
      <w:r w:rsidDel="00000000" w:rsidR="00000000" w:rsidRPr="00000000">
        <w:rPr>
          <w:rtl w:val="0"/>
        </w:rPr>
      </w:r>
    </w:p>
    <w:p w:rsidR="00000000" w:rsidDel="00000000" w:rsidP="00000000" w:rsidRDefault="00000000" w:rsidRPr="00000000" w14:paraId="0000008B">
      <w:pPr>
        <w:spacing w:after="240" w:line="360" w:lineRule="auto"/>
        <w:ind w:left="960" w:hanging="480"/>
        <w:jc w:val="both"/>
        <w:rPr>
          <w:rFonts w:ascii="Times New Roman" w:cs="Times New Roman" w:eastAsia="Times New Roman" w:hAnsi="Times New Roman"/>
          <w:sz w:val="24"/>
          <w:szCs w:val="24"/>
        </w:rPr>
      </w:pPr>
      <w:hyperlink r:id="rId88">
        <w:r w:rsidDel="00000000" w:rsidR="00000000" w:rsidRPr="00000000">
          <w:rPr>
            <w:rFonts w:ascii="Times New Roman" w:cs="Times New Roman" w:eastAsia="Times New Roman" w:hAnsi="Times New Roman"/>
            <w:sz w:val="24"/>
            <w:szCs w:val="24"/>
            <w:rtl w:val="0"/>
          </w:rPr>
          <w:t xml:space="preserve">Orsango</w:t>
        </w:r>
      </w:hyperlink>
      <w:hyperlink r:id="rId89">
        <w:r w:rsidDel="00000000" w:rsidR="00000000" w:rsidRPr="00000000">
          <w:rPr>
            <w:rFonts w:ascii="Times New Roman" w:cs="Times New Roman" w:eastAsia="Times New Roman" w:hAnsi="Times New Roman"/>
            <w:sz w:val="24"/>
            <w:szCs w:val="24"/>
            <w:rtl w:val="0"/>
          </w:rPr>
          <w:t xml:space="preserve">, Alemselam Zebdewos, Wossene Habtu, Tadesse Lejisa, Eskindir Loha, Bernt Lindtjørn, and Ingunn Marie S. Engebretsen. 2021. “Iron Deficiency Anaemia among Children Aged 2–5 Years in Southern Ethiopia: A Community-Based Cross-Sectional Study.” </w:t>
        </w:r>
      </w:hyperlink>
      <w:hyperlink r:id="rId90">
        <w:r w:rsidDel="00000000" w:rsidR="00000000" w:rsidRPr="00000000">
          <w:rPr>
            <w:rFonts w:ascii="Times New Roman" w:cs="Times New Roman" w:eastAsia="Times New Roman" w:hAnsi="Times New Roman"/>
            <w:i w:val="1"/>
            <w:iCs w:val="1"/>
            <w:sz w:val="24"/>
            <w:szCs w:val="24"/>
            <w:rtl w:val="0"/>
          </w:rPr>
          <w:t xml:space="preserve">PeerJ</w:t>
        </w:r>
      </w:hyperlink>
      <w:hyperlink r:id="rId91">
        <w:r w:rsidDel="00000000" w:rsidR="00000000" w:rsidRPr="00000000">
          <w:rPr>
            <w:rFonts w:ascii="Times New Roman" w:cs="Times New Roman" w:eastAsia="Times New Roman" w:hAnsi="Times New Roman"/>
            <w:sz w:val="24"/>
            <w:szCs w:val="24"/>
            <w:rtl w:val="0"/>
          </w:rPr>
          <w:t xml:space="preserve"> 9 (June): e11649.</w:t>
        </w:r>
      </w:hyperlink>
      <w:r w:rsidDel="00000000" w:rsidR="00000000" w:rsidRPr="00000000">
        <w:rPr>
          <w:rtl w:val="0"/>
        </w:rPr>
      </w:r>
    </w:p>
    <w:p w:rsidR="00000000" w:rsidDel="00000000" w:rsidP="00000000" w:rsidRDefault="00000000" w:rsidRPr="00000000" w14:paraId="0000008C">
      <w:pPr>
        <w:spacing w:after="240" w:line="360" w:lineRule="auto"/>
        <w:ind w:left="960" w:hanging="480"/>
        <w:jc w:val="both"/>
        <w:rPr>
          <w:rFonts w:ascii="Times New Roman" w:cs="Times New Roman" w:eastAsia="Times New Roman" w:hAnsi="Times New Roman"/>
          <w:sz w:val="24"/>
          <w:szCs w:val="24"/>
        </w:rPr>
      </w:pPr>
      <w:hyperlink r:id="rId92">
        <w:r w:rsidDel="00000000" w:rsidR="00000000" w:rsidRPr="00000000">
          <w:rPr>
            <w:rFonts w:ascii="Times New Roman" w:cs="Times New Roman" w:eastAsia="Times New Roman" w:hAnsi="Times New Roman"/>
            <w:sz w:val="24"/>
            <w:szCs w:val="24"/>
            <w:rtl w:val="0"/>
          </w:rPr>
          <w:t xml:space="preserve">Pallant, Julie. 2020. </w:t>
        </w:r>
      </w:hyperlink>
      <w:hyperlink r:id="rId93">
        <w:r w:rsidDel="00000000" w:rsidR="00000000" w:rsidRPr="00000000">
          <w:rPr>
            <w:rFonts w:ascii="Times New Roman" w:cs="Times New Roman" w:eastAsia="Times New Roman" w:hAnsi="Times New Roman"/>
            <w:i w:val="1"/>
            <w:iCs w:val="1"/>
            <w:sz w:val="24"/>
            <w:szCs w:val="24"/>
            <w:rtl w:val="0"/>
          </w:rPr>
          <w:t xml:space="preserve">SPSS Survival Manual: A Step by Step Guide to Data Analysis Using IBM SPSS</w:t>
        </w:r>
      </w:hyperlink>
      <w:hyperlink r:id="rId94">
        <w:r w:rsidDel="00000000" w:rsidR="00000000" w:rsidRPr="00000000">
          <w:rPr>
            <w:rFonts w:ascii="Times New Roman" w:cs="Times New Roman" w:eastAsia="Times New Roman" w:hAnsi="Times New Roman"/>
            <w:sz w:val="24"/>
            <w:szCs w:val="24"/>
            <w:rtl w:val="0"/>
          </w:rPr>
          <w:t xml:space="preserve">. McGraw-Hill Education (UK).</w:t>
        </w:r>
      </w:hyperlink>
      <w:r w:rsidDel="00000000" w:rsidR="00000000" w:rsidRPr="00000000">
        <w:rPr>
          <w:rtl w:val="0"/>
        </w:rPr>
      </w:r>
    </w:p>
    <w:p w:rsidR="00000000" w:rsidDel="00000000" w:rsidP="00000000" w:rsidRDefault="00000000" w:rsidRPr="00000000" w14:paraId="0000008D">
      <w:pPr>
        <w:spacing w:after="240" w:line="360" w:lineRule="auto"/>
        <w:ind w:left="960" w:hanging="480"/>
        <w:jc w:val="both"/>
        <w:rPr>
          <w:rFonts w:ascii="Times New Roman" w:cs="Times New Roman" w:eastAsia="Times New Roman" w:hAnsi="Times New Roman"/>
          <w:sz w:val="24"/>
          <w:szCs w:val="24"/>
        </w:rPr>
      </w:pPr>
      <w:hyperlink r:id="rId95">
        <w:r w:rsidDel="00000000" w:rsidR="00000000" w:rsidRPr="00000000">
          <w:rPr>
            <w:rFonts w:ascii="Times New Roman" w:cs="Times New Roman" w:eastAsia="Times New Roman" w:hAnsi="Times New Roman"/>
            <w:sz w:val="24"/>
            <w:szCs w:val="24"/>
            <w:rtl w:val="0"/>
          </w:rPr>
          <w:t xml:space="preserve">Saihood, Qusay, and Emrullah Sonuç. 2022. “The Efficiency of Classification Techniques in Predicting Anaemia Among Children: A Comparative Study.” In </w:t>
        </w:r>
      </w:hyperlink>
      <w:hyperlink r:id="rId96">
        <w:r w:rsidDel="00000000" w:rsidR="00000000" w:rsidRPr="00000000">
          <w:rPr>
            <w:rFonts w:ascii="Times New Roman" w:cs="Times New Roman" w:eastAsia="Times New Roman" w:hAnsi="Times New Roman"/>
            <w:i w:val="1"/>
            <w:iCs w:val="1"/>
            <w:sz w:val="24"/>
            <w:szCs w:val="24"/>
            <w:rtl w:val="0"/>
          </w:rPr>
          <w:t xml:space="preserve">Emerging Technology Trends in Internet of Things and Computing</w:t>
        </w:r>
      </w:hyperlink>
      <w:hyperlink r:id="rId97">
        <w:r w:rsidDel="00000000" w:rsidR="00000000" w:rsidRPr="00000000">
          <w:rPr>
            <w:rFonts w:ascii="Times New Roman" w:cs="Times New Roman" w:eastAsia="Times New Roman" w:hAnsi="Times New Roman"/>
            <w:sz w:val="24"/>
            <w:szCs w:val="24"/>
            <w:rtl w:val="0"/>
          </w:rPr>
          <w:t xml:space="preserve">, 167–81. Springer International Publishing.</w:t>
        </w:r>
      </w:hyperlink>
      <w:r w:rsidDel="00000000" w:rsidR="00000000" w:rsidRPr="00000000">
        <w:rPr>
          <w:rtl w:val="0"/>
        </w:rPr>
      </w:r>
    </w:p>
    <w:p w:rsidR="00000000" w:rsidDel="00000000" w:rsidP="00000000" w:rsidRDefault="00000000" w:rsidRPr="00000000" w14:paraId="0000008E">
      <w:pPr>
        <w:spacing w:after="240" w:line="360" w:lineRule="auto"/>
        <w:ind w:left="960" w:hanging="480"/>
        <w:jc w:val="both"/>
        <w:rPr>
          <w:rFonts w:ascii="Times New Roman" w:cs="Times New Roman" w:eastAsia="Times New Roman" w:hAnsi="Times New Roman"/>
          <w:sz w:val="24"/>
          <w:szCs w:val="24"/>
        </w:rPr>
      </w:pPr>
      <w:hyperlink r:id="rId98">
        <w:r w:rsidDel="00000000" w:rsidR="00000000" w:rsidRPr="00000000">
          <w:rPr>
            <w:rFonts w:ascii="Times New Roman" w:cs="Times New Roman" w:eastAsia="Times New Roman" w:hAnsi="Times New Roman"/>
            <w:sz w:val="24"/>
            <w:szCs w:val="24"/>
            <w:rtl w:val="0"/>
          </w:rPr>
          <w:t xml:space="preserve">Shalby, Khaled Yaseen, Alzahra Y. Alradhi, Sinan Jamal Holdar, Abdullah S. Alghamdi, Saleh Abdulaziz Alduilej, Saad Albuainain, Ahmed M. Al Zaghal, and Nabeel A. Sadiq. 2022. “Extremes of Anaemia: The Lowest Haemoglobin Values Probably Ever Reported in the Pediatric Literature Attributed to Iron Deficiency Anaemia.” </w:t>
        </w:r>
      </w:hyperlink>
      <w:hyperlink r:id="rId99">
        <w:r w:rsidDel="00000000" w:rsidR="00000000" w:rsidRPr="00000000">
          <w:rPr>
            <w:rFonts w:ascii="Times New Roman" w:cs="Times New Roman" w:eastAsia="Times New Roman" w:hAnsi="Times New Roman"/>
            <w:i w:val="1"/>
            <w:iCs w:val="1"/>
            <w:sz w:val="24"/>
            <w:szCs w:val="24"/>
            <w:rtl w:val="0"/>
          </w:rPr>
          <w:t xml:space="preserve">The American Journal of Case Reports</w:t>
        </w:r>
      </w:hyperlink>
      <w:hyperlink r:id="rId100">
        <w:r w:rsidDel="00000000" w:rsidR="00000000" w:rsidRPr="00000000">
          <w:rPr>
            <w:rFonts w:ascii="Times New Roman" w:cs="Times New Roman" w:eastAsia="Times New Roman" w:hAnsi="Times New Roman"/>
            <w:sz w:val="24"/>
            <w:szCs w:val="24"/>
            <w:rtl w:val="0"/>
          </w:rPr>
          <w:t xml:space="preserve"> 23 (June): e936252.</w:t>
        </w:r>
      </w:hyperlink>
      <w:r w:rsidDel="00000000" w:rsidR="00000000" w:rsidRPr="00000000">
        <w:rPr>
          <w:rtl w:val="0"/>
        </w:rPr>
      </w:r>
    </w:p>
    <w:p w:rsidR="00000000" w:rsidDel="00000000" w:rsidP="00000000" w:rsidRDefault="00000000" w:rsidRPr="00000000" w14:paraId="0000008F">
      <w:pPr>
        <w:spacing w:after="240" w:line="360" w:lineRule="auto"/>
        <w:ind w:left="960" w:hanging="480"/>
        <w:jc w:val="both"/>
        <w:rPr>
          <w:rFonts w:ascii="Times New Roman" w:cs="Times New Roman" w:eastAsia="Times New Roman" w:hAnsi="Times New Roman"/>
          <w:sz w:val="24"/>
          <w:szCs w:val="24"/>
        </w:rPr>
      </w:pPr>
      <w:hyperlink r:id="rId101">
        <w:r w:rsidDel="00000000" w:rsidR="00000000" w:rsidRPr="00000000">
          <w:rPr>
            <w:rFonts w:ascii="Times New Roman" w:cs="Times New Roman" w:eastAsia="Times New Roman" w:hAnsi="Times New Roman"/>
            <w:sz w:val="24"/>
            <w:szCs w:val="24"/>
            <w:rtl w:val="0"/>
          </w:rPr>
          <w:t xml:space="preserve">Taeidi, Elham, Amene Ranjbar, Farideh Montazeri, Vahid Mehrnoush, and Fatemeh Darsareh. 2023. “Machine Learning-Based Approach to Predict Intrauterine Growth Restriction.” </w:t>
        </w:r>
      </w:hyperlink>
      <w:hyperlink r:id="rId102">
        <w:r w:rsidDel="00000000" w:rsidR="00000000" w:rsidRPr="00000000">
          <w:rPr>
            <w:rFonts w:ascii="Times New Roman" w:cs="Times New Roman" w:eastAsia="Times New Roman" w:hAnsi="Times New Roman"/>
            <w:i w:val="1"/>
            <w:iCs w:val="1"/>
            <w:sz w:val="24"/>
            <w:szCs w:val="24"/>
            <w:rtl w:val="0"/>
          </w:rPr>
          <w:t xml:space="preserve">Cureus</w:t>
        </w:r>
      </w:hyperlink>
      <w:hyperlink r:id="rId103">
        <w:r w:rsidDel="00000000" w:rsidR="00000000" w:rsidRPr="00000000">
          <w:rPr>
            <w:rFonts w:ascii="Times New Roman" w:cs="Times New Roman" w:eastAsia="Times New Roman" w:hAnsi="Times New Roman"/>
            <w:sz w:val="24"/>
            <w:szCs w:val="24"/>
            <w:rtl w:val="0"/>
          </w:rPr>
          <w:t xml:space="preserve"> 15 (7): e41448.</w:t>
        </w:r>
      </w:hyperlink>
      <w:r w:rsidDel="00000000" w:rsidR="00000000" w:rsidRPr="00000000">
        <w:rPr>
          <w:rtl w:val="0"/>
        </w:rPr>
      </w:r>
    </w:p>
    <w:p w:rsidR="00000000" w:rsidDel="00000000" w:rsidP="00000000" w:rsidRDefault="00000000" w:rsidRPr="00000000" w14:paraId="00000090">
      <w:pPr>
        <w:spacing w:after="240" w:line="360" w:lineRule="auto"/>
        <w:ind w:left="960" w:hanging="480"/>
        <w:jc w:val="both"/>
        <w:rPr>
          <w:rFonts w:ascii="Times New Roman" w:cs="Times New Roman" w:eastAsia="Times New Roman" w:hAnsi="Times New Roman"/>
          <w:sz w:val="24"/>
          <w:szCs w:val="24"/>
        </w:rPr>
      </w:pPr>
      <w:hyperlink r:id="rId104">
        <w:r w:rsidDel="00000000" w:rsidR="00000000" w:rsidRPr="00000000">
          <w:rPr>
            <w:rFonts w:ascii="Times New Roman" w:cs="Times New Roman" w:eastAsia="Times New Roman" w:hAnsi="Times New Roman"/>
            <w:sz w:val="24"/>
            <w:szCs w:val="24"/>
            <w:rtl w:val="0"/>
          </w:rPr>
          <w:t xml:space="preserve">Yang, Cheng-Hong, Dony Novaliendry, Jin-Bor Chen, Y. </w:t>
        </w:r>
      </w:hyperlink>
      <w:hyperlink r:id="rId105">
        <w:r w:rsidDel="00000000" w:rsidR="00000000" w:rsidRPr="00000000">
          <w:rPr>
            <w:rFonts w:ascii="Times New Roman" w:cs="Times New Roman" w:eastAsia="Times New Roman" w:hAnsi="Times New Roman"/>
            <w:sz w:val="24"/>
            <w:szCs w:val="24"/>
            <w:rtl w:val="0"/>
          </w:rPr>
          <w:t xml:space="preserve">Fegie</w:t>
        </w:r>
      </w:hyperlink>
      <w:hyperlink r:id="rId106">
        <w:r w:rsidDel="00000000" w:rsidR="00000000" w:rsidRPr="00000000">
          <w:rPr>
            <w:rFonts w:ascii="Times New Roman" w:cs="Times New Roman" w:eastAsia="Times New Roman" w:hAnsi="Times New Roman"/>
            <w:sz w:val="24"/>
            <w:szCs w:val="24"/>
            <w:rtl w:val="0"/>
          </w:rPr>
          <w:t xml:space="preserve">, Axelon S. Renyaan, Yaslinda </w:t>
        </w:r>
      </w:hyperlink>
      <w:hyperlink r:id="rId107">
        <w:r w:rsidDel="00000000" w:rsidR="00000000" w:rsidRPr="00000000">
          <w:rPr>
            <w:rFonts w:ascii="Times New Roman" w:cs="Times New Roman" w:eastAsia="Times New Roman" w:hAnsi="Times New Roman"/>
            <w:sz w:val="24"/>
            <w:szCs w:val="24"/>
            <w:rtl w:val="0"/>
          </w:rPr>
          <w:t xml:space="preserve">Lizar</w:t>
        </w:r>
      </w:hyperlink>
      <w:hyperlink r:id="rId108">
        <w:r w:rsidDel="00000000" w:rsidR="00000000" w:rsidRPr="00000000">
          <w:rPr>
            <w:rFonts w:ascii="Times New Roman" w:cs="Times New Roman" w:eastAsia="Times New Roman" w:hAnsi="Times New Roman"/>
            <w:sz w:val="24"/>
            <w:szCs w:val="24"/>
            <w:rtl w:val="0"/>
          </w:rPr>
          <w:t xml:space="preserve">, Asriwan Guci, et al. 2020. “Prediction of </w:t>
        </w:r>
      </w:hyperlink>
      <w:hyperlink r:id="rId109">
        <w:r w:rsidDel="00000000" w:rsidR="00000000" w:rsidRPr="00000000">
          <w:rPr>
            <w:rFonts w:ascii="Times New Roman" w:cs="Times New Roman" w:eastAsia="Times New Roman" w:hAnsi="Times New Roman"/>
            <w:sz w:val="24"/>
            <w:szCs w:val="24"/>
            <w:rtl w:val="0"/>
          </w:rPr>
          <w:t xml:space="preserve">Mortalityinthe</w:t>
        </w:r>
      </w:hyperlink>
      <w:hyperlink r:id="rId110">
        <w:r w:rsidDel="00000000" w:rsidR="00000000" w:rsidRPr="00000000">
          <w:rPr>
            <w:rFonts w:ascii="Times New Roman" w:cs="Times New Roman" w:eastAsia="Times New Roman" w:hAnsi="Times New Roman"/>
            <w:sz w:val="24"/>
            <w:szCs w:val="24"/>
            <w:rtl w:val="0"/>
          </w:rPr>
          <w:t xml:space="preserve"> Hemodialysis Patient with Diabetes Using Support Vector Machine.” </w:t>
        </w:r>
      </w:hyperlink>
      <w:hyperlink r:id="rId111">
        <w:r w:rsidDel="00000000" w:rsidR="00000000" w:rsidRPr="00000000">
          <w:rPr>
            <w:rFonts w:ascii="Times New Roman" w:cs="Times New Roman" w:eastAsia="Times New Roman" w:hAnsi="Times New Roman"/>
            <w:i w:val="1"/>
            <w:iCs w:val="1"/>
            <w:sz w:val="24"/>
            <w:szCs w:val="24"/>
            <w:rtl w:val="0"/>
          </w:rPr>
          <w:t xml:space="preserve">Revista</w:t>
        </w:r>
      </w:hyperlink>
      <w:hyperlink r:id="rId112">
        <w:r w:rsidDel="00000000" w:rsidR="00000000" w:rsidRPr="00000000">
          <w:rPr>
            <w:rFonts w:ascii="Times New Roman" w:cs="Times New Roman" w:eastAsia="Times New Roman" w:hAnsi="Times New Roman"/>
            <w:sz w:val="24"/>
            <w:szCs w:val="24"/>
            <w:rtl w:val="0"/>
          </w:rPr>
          <w:t xml:space="preserve">. revistaclinicapsicologica.com. https://doi.org/</w:t>
        </w:r>
      </w:hyperlink>
      <w:hyperlink r:id="rId113">
        <w:r w:rsidDel="00000000" w:rsidR="00000000" w:rsidRPr="00000000">
          <w:rPr>
            <w:rFonts w:ascii="Times New Roman" w:cs="Times New Roman" w:eastAsia="Times New Roman" w:hAnsi="Times New Roman"/>
            <w:sz w:val="24"/>
            <w:szCs w:val="24"/>
            <w:rtl w:val="0"/>
          </w:rPr>
          <w:t xml:space="preserve">10.24205/03276716.2020.823</w:t>
        </w:r>
      </w:hyperlink>
      <w:hyperlink r:id="rId114">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TABLES AND FIGURES</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Efficiency of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PCA Algorithms The D</w:t>
      </w:r>
      <w:r w:rsidDel="00000000" w:rsidR="00000000" w:rsidRPr="00000000">
        <w:rPr>
          <w:rFonts w:ascii="Times New Roman" w:cs="Times New Roman" w:eastAsia="Times New Roman" w:hAnsi="Times New Roman"/>
          <w:sz w:val="24"/>
          <w:szCs w:val="24"/>
          <w:rtl w:val="0"/>
        </w:rPr>
        <w:t xml:space="preserve">CNN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algorithm is more efficient than the PCA  algorithm.</w:t>
      </w:r>
      <w:r w:rsidDel="00000000" w:rsidR="00000000" w:rsidRPr="00000000">
        <w:rPr>
          <w:rtl w:val="0"/>
        </w:rPr>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970"/>
        <w:gridCol w:w="2955"/>
        <w:tblGridChange w:id="0">
          <w:tblGrid>
            <w:gridCol w:w="2400"/>
            <w:gridCol w:w="2970"/>
            <w:gridCol w:w="2955"/>
          </w:tblGrid>
        </w:tblGridChange>
      </w:tblGrid>
      <w:tr>
        <w:trPr>
          <w:cantSplit w:val="0"/>
          <w:trHeight w:val="638.96484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PCA (%)</w:t>
            </w:r>
          </w:p>
        </w:tc>
      </w:tr>
      <w:tr>
        <w:trPr>
          <w:cantSplit w:val="0"/>
          <w:trHeight w:val="563.9648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79.30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81.60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80.70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79.60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80.40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78.60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360" w:lineRule="auto"/>
              <w:ind w:left="4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360"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80.30</w:t>
            </w:r>
          </w:p>
        </w:tc>
      </w:tr>
    </w:tbl>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Group Statistics of  PCA  and DCNN with a Mean value of 80.230 and 92.290.</w:t>
      </w:r>
      <w:r w:rsidDel="00000000" w:rsidR="00000000" w:rsidRPr="00000000">
        <w:rPr>
          <w:rtl w:val="0"/>
        </w:rPr>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4.6325878594248"/>
        <w:gridCol w:w="2183.0031948881788"/>
        <w:gridCol w:w="1046.6453674121406"/>
        <w:gridCol w:w="1390.5431309904154"/>
        <w:gridCol w:w="1569.968051118211"/>
        <w:gridCol w:w="1495.2076677316293"/>
        <w:tblGridChange w:id="0">
          <w:tblGrid>
            <w:gridCol w:w="1674.6325878594248"/>
            <w:gridCol w:w="2183.0031948881788"/>
            <w:gridCol w:w="1046.6453674121406"/>
            <w:gridCol w:w="1390.5431309904154"/>
            <w:gridCol w:w="1569.968051118211"/>
            <w:gridCol w:w="1495.2076677316293"/>
          </w:tblGrid>
        </w:tblGridChange>
      </w:tblGrid>
      <w:tr>
        <w:trPr>
          <w:cantSplit w:val="0"/>
          <w:trHeight w:val="115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Error Mean</w:t>
            </w:r>
          </w:p>
        </w:tc>
      </w:tr>
      <w:tr>
        <w:trPr>
          <w:cantSplit w:val="0"/>
          <w:trHeight w:val="8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1.11454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0.24922</w:t>
            </w:r>
          </w:p>
        </w:tc>
      </w:tr>
      <w:tr>
        <w:trPr>
          <w:cantSplit w:val="0"/>
          <w:trHeight w:val="8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2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92.29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1.87305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0.41883</w:t>
            </w:r>
          </w:p>
        </w:tc>
      </w:tr>
    </w:tbl>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Table 3. </w:t>
      </w:r>
      <w:r w:rsidDel="00000000" w:rsidR="00000000" w:rsidRPr="00000000">
        <w:rPr>
          <w:rFonts w:ascii="Times New Roman" w:cs="Times New Roman" w:eastAsia="Times New Roman" w:hAnsi="Times New Roman"/>
          <w:sz w:val="24"/>
          <w:szCs w:val="24"/>
          <w:rtl w:val="0"/>
        </w:rPr>
        <w:t xml:space="preserve">An independent sample T-test is performed for the two groups for significance and standard error determination. The significance value p=0.001 (p&gt;0.05) shows that the two groups are statistically significant.</w:t>
      </w:r>
    </w:p>
    <w:tbl>
      <w:tblPr>
        <w:tblStyle w:val="Table3"/>
        <w:tblpPr w:leftFromText="180" w:rightFromText="180" w:topFromText="180" w:bottomFromText="180" w:vertAnchor="text" w:horzAnchor="text" w:tblpX="-1095" w:tblpY="2211.03515625"/>
        <w:tblW w:w="11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215"/>
        <w:gridCol w:w="1230"/>
        <w:gridCol w:w="570"/>
        <w:gridCol w:w="720"/>
        <w:gridCol w:w="555"/>
        <w:gridCol w:w="675"/>
        <w:gridCol w:w="1005"/>
        <w:gridCol w:w="1005"/>
        <w:gridCol w:w="1080"/>
        <w:gridCol w:w="2055"/>
        <w:tblGridChange w:id="0">
          <w:tblGrid>
            <w:gridCol w:w="1320"/>
            <w:gridCol w:w="1215"/>
            <w:gridCol w:w="1230"/>
            <w:gridCol w:w="570"/>
            <w:gridCol w:w="720"/>
            <w:gridCol w:w="555"/>
            <w:gridCol w:w="675"/>
            <w:gridCol w:w="1005"/>
            <w:gridCol w:w="1005"/>
            <w:gridCol w:w="1080"/>
            <w:gridCol w:w="2055"/>
          </w:tblGrid>
        </w:tblGridChange>
      </w:tblGrid>
      <w:tr>
        <w:trPr>
          <w:cantSplit w:val="0"/>
          <w:trHeight w:val="3075" w:hRule="atLeast"/>
          <w:tblHeader w:val="0"/>
        </w:trPr>
        <w:tc>
          <w:tcPr>
            <w:gridSpan w:val="2"/>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2">
            <w:pPr>
              <w:spacing w:after="240" w:before="240" w:line="276"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03">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5">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Levene's Test for Equality of Variances</w:t>
            </w:r>
          </w:p>
        </w:tc>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t-test for Equality of Means</w:t>
            </w:r>
          </w:p>
          <w:p w:rsidR="00000000" w:rsidDel="00000000" w:rsidP="00000000" w:rsidRDefault="00000000" w:rsidRPr="00000000" w14:paraId="0000010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039.62646484375" w:hRule="atLeast"/>
          <w:tblHeader w:val="0"/>
        </w:trPr>
        <w:tc>
          <w:tcPr>
            <w:gridSpan w:val="2"/>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4">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5">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 (2-tailed)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Difference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 Error Difference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Confidence Interval</w:t>
            </w:r>
          </w:p>
          <w:p w:rsidR="00000000" w:rsidDel="00000000" w:rsidP="00000000" w:rsidRDefault="00000000" w:rsidRPr="00000000" w14:paraId="0000011C">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Confidence Interval</w:t>
            </w:r>
          </w:p>
          <w:p w:rsidR="00000000" w:rsidDel="00000000" w:rsidP="00000000" w:rsidRDefault="00000000" w:rsidRPr="00000000" w14:paraId="0000011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w:t>
            </w:r>
          </w:p>
        </w:tc>
      </w:tr>
      <w:tr>
        <w:trPr>
          <w:cantSplit w:val="0"/>
          <w:trHeight w:val="163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F">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variances assumed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5.966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4">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5">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24.745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12.06000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0.48737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11.07338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13.04662</w:t>
            </w:r>
          </w:p>
        </w:tc>
      </w:tr>
      <w:tr>
        <w:trPr>
          <w:cantSplit w:val="0"/>
          <w:trHeight w:val="111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variances not assumed assumed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24.745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30.956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12.06000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4">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0.48737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5">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11.06595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13.05405</w:t>
            </w:r>
          </w:p>
        </w:tc>
      </w:tr>
    </w:tbl>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05200"/>
            <wp:effectExtent b="0" l="0" r="0" t="0"/>
            <wp:docPr id="1" name="image1.png"/>
            <a:graphic>
              <a:graphicData uri="http://schemas.openxmlformats.org/drawingml/2006/picture">
                <pic:pic>
                  <pic:nvPicPr>
                    <pic:cNvPr id="0" name="image1.png"/>
                    <pic:cNvPicPr preferRelativeResize="0"/>
                  </pic:nvPicPr>
                  <pic:blipFill>
                    <a:blip r:embed="rId115"/>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The bar graph compares two algorithms, PCA and DCNN, on the X-axis, showing their average accuracy on the Y-axis. The average accuracy for PCA is about 80.23%. Each bar includes error bars representing ±1 standard deviation, indicating the accuracy variability, along with a 95% confidence interval, signifying the range where the true accuracy lies with 95% confidence.Notably,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outperforms PCA significantly, achieving an average accuracy of approximately 92.29%.</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sectPr>
      <w:headerReference r:id="rId116" w:type="default"/>
      <w:footerReference r:id="rId1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22</w:t>
    </w:r>
  </w:p>
  <w:p w:rsidR="00000000" w:rsidDel="00000000" w:rsidP="00000000" w:rsidRDefault="00000000" w:rsidRPr="00000000" w14:paraId="0000014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7nfjjE/yqLw" TargetMode="External"/><Relationship Id="rId42" Type="http://schemas.openxmlformats.org/officeDocument/2006/relationships/hyperlink" Target="http://paperpile.com/b/7nfjjE/yqLw" TargetMode="External"/><Relationship Id="rId41" Type="http://schemas.openxmlformats.org/officeDocument/2006/relationships/hyperlink" Target="http://paperpile.com/b/7nfjjE/yqLw" TargetMode="External"/><Relationship Id="rId44" Type="http://schemas.openxmlformats.org/officeDocument/2006/relationships/hyperlink" Target="http://paperpile.com/b/7nfjjE/IV6E" TargetMode="External"/><Relationship Id="rId43" Type="http://schemas.openxmlformats.org/officeDocument/2006/relationships/hyperlink" Target="http://paperpile.com/b/7nfjjE/IV6E" TargetMode="External"/><Relationship Id="rId46" Type="http://schemas.openxmlformats.org/officeDocument/2006/relationships/hyperlink" Target="http://dx.doi.org/10.3390/s23031128" TargetMode="External"/><Relationship Id="rId45" Type="http://schemas.openxmlformats.org/officeDocument/2006/relationships/hyperlink" Target="http://paperpile.com/b/7nfjjE/IV6E" TargetMode="External"/><Relationship Id="rId107" Type="http://schemas.openxmlformats.org/officeDocument/2006/relationships/hyperlink" Target="http://paperpile.com/b/7nfjjE/rNyL" TargetMode="External"/><Relationship Id="rId106" Type="http://schemas.openxmlformats.org/officeDocument/2006/relationships/hyperlink" Target="http://paperpile.com/b/7nfjjE/rNyL" TargetMode="External"/><Relationship Id="rId105" Type="http://schemas.openxmlformats.org/officeDocument/2006/relationships/hyperlink" Target="http://paperpile.com/b/7nfjjE/rNyL" TargetMode="External"/><Relationship Id="rId104" Type="http://schemas.openxmlformats.org/officeDocument/2006/relationships/hyperlink" Target="http://paperpile.com/b/7nfjjE/rNyL" TargetMode="External"/><Relationship Id="rId109" Type="http://schemas.openxmlformats.org/officeDocument/2006/relationships/hyperlink" Target="http://paperpile.com/b/7nfjjE/rNyL" TargetMode="External"/><Relationship Id="rId108" Type="http://schemas.openxmlformats.org/officeDocument/2006/relationships/hyperlink" Target="http://paperpile.com/b/7nfjjE/rNyL" TargetMode="External"/><Relationship Id="rId48" Type="http://schemas.openxmlformats.org/officeDocument/2006/relationships/hyperlink" Target="http://paperpile.com/b/7nfjjE/cCal" TargetMode="External"/><Relationship Id="rId47" Type="http://schemas.openxmlformats.org/officeDocument/2006/relationships/hyperlink" Target="http://paperpile.com/b/7nfjjE/IV6E" TargetMode="External"/><Relationship Id="rId49" Type="http://schemas.openxmlformats.org/officeDocument/2006/relationships/hyperlink" Target="http://paperpile.com/b/7nfjjE/cCal" TargetMode="External"/><Relationship Id="rId103" Type="http://schemas.openxmlformats.org/officeDocument/2006/relationships/hyperlink" Target="http://paperpile.com/b/7nfjjE/0EVx" TargetMode="External"/><Relationship Id="rId102" Type="http://schemas.openxmlformats.org/officeDocument/2006/relationships/hyperlink" Target="http://paperpile.com/b/7nfjjE/0EVx" TargetMode="External"/><Relationship Id="rId101" Type="http://schemas.openxmlformats.org/officeDocument/2006/relationships/hyperlink" Target="http://paperpile.com/b/7nfjjE/0EVx" TargetMode="External"/><Relationship Id="rId100" Type="http://schemas.openxmlformats.org/officeDocument/2006/relationships/hyperlink" Target="http://paperpile.com/b/7nfjjE/skSb" TargetMode="External"/><Relationship Id="rId31" Type="http://schemas.openxmlformats.org/officeDocument/2006/relationships/hyperlink" Target="http://paperpile.com/b/7nfjjE/buGs" TargetMode="External"/><Relationship Id="rId30" Type="http://schemas.openxmlformats.org/officeDocument/2006/relationships/hyperlink" Target="http://paperpile.com/b/7nfjjE/kgxM" TargetMode="External"/><Relationship Id="rId33" Type="http://schemas.openxmlformats.org/officeDocument/2006/relationships/hyperlink" Target="http://paperpile.com/b/7nfjjE/buGs" TargetMode="External"/><Relationship Id="rId32" Type="http://schemas.openxmlformats.org/officeDocument/2006/relationships/hyperlink" Target="http://paperpile.com/b/7nfjjE/buGs" TargetMode="External"/><Relationship Id="rId35" Type="http://schemas.openxmlformats.org/officeDocument/2006/relationships/hyperlink" Target="http://paperpile.com/b/7nfjjE/buGs" TargetMode="External"/><Relationship Id="rId34" Type="http://schemas.openxmlformats.org/officeDocument/2006/relationships/hyperlink" Target="http://dx.doi.org/10.1002/eng2.12667" TargetMode="External"/><Relationship Id="rId37" Type="http://schemas.openxmlformats.org/officeDocument/2006/relationships/hyperlink" Target="http://paperpile.com/b/7nfjjE/iAO6" TargetMode="External"/><Relationship Id="rId36" Type="http://schemas.openxmlformats.org/officeDocument/2006/relationships/hyperlink" Target="http://paperpile.com/b/7nfjjE/iAO6" TargetMode="External"/><Relationship Id="rId39" Type="http://schemas.openxmlformats.org/officeDocument/2006/relationships/hyperlink" Target="http://paperpile.com/b/7nfjjE/yqLw" TargetMode="External"/><Relationship Id="rId38" Type="http://schemas.openxmlformats.org/officeDocument/2006/relationships/hyperlink" Target="http://paperpile.com/b/7nfjjE/iAO6" TargetMode="External"/><Relationship Id="rId20" Type="http://schemas.openxmlformats.org/officeDocument/2006/relationships/hyperlink" Target="https://paperpile.com/c/7nfjjE/UQrr" TargetMode="External"/><Relationship Id="rId22" Type="http://schemas.openxmlformats.org/officeDocument/2006/relationships/hyperlink" Target="https://paperpile.com/c/7nfjjE/65pD" TargetMode="External"/><Relationship Id="rId21" Type="http://schemas.openxmlformats.org/officeDocument/2006/relationships/hyperlink" Target="https://paperpile.com/c/7nfjjE/iAO6" TargetMode="External"/><Relationship Id="rId24" Type="http://schemas.openxmlformats.org/officeDocument/2006/relationships/hyperlink" Target="https://paperpile.com/c/7nfjjE/Ah1m" TargetMode="External"/><Relationship Id="rId23" Type="http://schemas.openxmlformats.org/officeDocument/2006/relationships/hyperlink" Target="https://paperpile.com/c/7nfjjE/OjoY" TargetMode="External"/><Relationship Id="rId26" Type="http://schemas.openxmlformats.org/officeDocument/2006/relationships/hyperlink" Target="https://paperpile.com/c/7nfjjE/buGs" TargetMode="External"/><Relationship Id="rId25" Type="http://schemas.openxmlformats.org/officeDocument/2006/relationships/hyperlink" Target="https://paperpile.com/c/7nfjjE/kgxM" TargetMode="External"/><Relationship Id="rId28" Type="http://schemas.openxmlformats.org/officeDocument/2006/relationships/hyperlink" Target="http://paperpile.com/b/7nfjjE/kgxM" TargetMode="External"/><Relationship Id="rId27" Type="http://schemas.openxmlformats.org/officeDocument/2006/relationships/hyperlink" Target="https://paperpile.com/c/7nfjjE/UaIF" TargetMode="External"/><Relationship Id="rId29" Type="http://schemas.openxmlformats.org/officeDocument/2006/relationships/hyperlink" Target="http://paperpile.com/b/7nfjjE/kgxM" TargetMode="External"/><Relationship Id="rId95" Type="http://schemas.openxmlformats.org/officeDocument/2006/relationships/hyperlink" Target="http://paperpile.com/b/7nfjjE/SGKy" TargetMode="External"/><Relationship Id="rId94" Type="http://schemas.openxmlformats.org/officeDocument/2006/relationships/hyperlink" Target="http://paperpile.com/b/7nfjjE/OjoY" TargetMode="External"/><Relationship Id="rId97" Type="http://schemas.openxmlformats.org/officeDocument/2006/relationships/hyperlink" Target="http://paperpile.com/b/7nfjjE/SGKy" TargetMode="External"/><Relationship Id="rId96" Type="http://schemas.openxmlformats.org/officeDocument/2006/relationships/hyperlink" Target="http://paperpile.com/b/7nfjjE/SGKy" TargetMode="External"/><Relationship Id="rId11" Type="http://schemas.openxmlformats.org/officeDocument/2006/relationships/hyperlink" Target="https://paperpile.com/c/7nfjjE/yqLw+0EVx+8L7c+usVV" TargetMode="External"/><Relationship Id="rId99" Type="http://schemas.openxmlformats.org/officeDocument/2006/relationships/hyperlink" Target="http://paperpile.com/b/7nfjjE/skSb" TargetMode="External"/><Relationship Id="rId10" Type="http://schemas.openxmlformats.org/officeDocument/2006/relationships/hyperlink" Target="https://paperpile.com/c/7nfjjE/IV6E" TargetMode="External"/><Relationship Id="rId98" Type="http://schemas.openxmlformats.org/officeDocument/2006/relationships/hyperlink" Target="http://paperpile.com/b/7nfjjE/skSb" TargetMode="External"/><Relationship Id="rId13" Type="http://schemas.openxmlformats.org/officeDocument/2006/relationships/hyperlink" Target="https://paperpile.com/c/7nfjjE/cCal" TargetMode="External"/><Relationship Id="rId12" Type="http://schemas.openxmlformats.org/officeDocument/2006/relationships/hyperlink" Target="https://paperpile.com/c/7nfjjE/rNyL" TargetMode="External"/><Relationship Id="rId91" Type="http://schemas.openxmlformats.org/officeDocument/2006/relationships/hyperlink" Target="http://paperpile.com/b/7nfjjE/y9ks" TargetMode="External"/><Relationship Id="rId90" Type="http://schemas.openxmlformats.org/officeDocument/2006/relationships/hyperlink" Target="http://paperpile.com/b/7nfjjE/y9ks" TargetMode="External"/><Relationship Id="rId93" Type="http://schemas.openxmlformats.org/officeDocument/2006/relationships/hyperlink" Target="http://paperpile.com/b/7nfjjE/OjoY" TargetMode="External"/><Relationship Id="rId92" Type="http://schemas.openxmlformats.org/officeDocument/2006/relationships/hyperlink" Target="http://paperpile.com/b/7nfjjE/OjoY" TargetMode="External"/><Relationship Id="rId117" Type="http://schemas.openxmlformats.org/officeDocument/2006/relationships/footer" Target="footer1.xml"/><Relationship Id="rId116" Type="http://schemas.openxmlformats.org/officeDocument/2006/relationships/header" Target="header1.xml"/><Relationship Id="rId115" Type="http://schemas.openxmlformats.org/officeDocument/2006/relationships/image" Target="media/image1.png"/><Relationship Id="rId15" Type="http://schemas.openxmlformats.org/officeDocument/2006/relationships/hyperlink" Target="https://paperpile.com/c/7nfjjE/SGKy" TargetMode="External"/><Relationship Id="rId110" Type="http://schemas.openxmlformats.org/officeDocument/2006/relationships/hyperlink" Target="http://paperpile.com/b/7nfjjE/rNyL" TargetMode="External"/><Relationship Id="rId14" Type="http://schemas.openxmlformats.org/officeDocument/2006/relationships/hyperlink" Target="https://paperpile.com/c/7nfjjE/SGKy" TargetMode="External"/><Relationship Id="rId17" Type="http://schemas.openxmlformats.org/officeDocument/2006/relationships/hyperlink" Target="https://paperpile.com/c/7nfjjE/iAO6" TargetMode="External"/><Relationship Id="rId16" Type="http://schemas.openxmlformats.org/officeDocument/2006/relationships/hyperlink" Target="https://paperpile.com/c/7nfjjE/SGKy" TargetMode="External"/><Relationship Id="rId19" Type="http://schemas.openxmlformats.org/officeDocument/2006/relationships/hyperlink" Target="https://paperpile.com/c/7nfjjE/y9YP" TargetMode="External"/><Relationship Id="rId114" Type="http://schemas.openxmlformats.org/officeDocument/2006/relationships/hyperlink" Target="http://paperpile.com/b/7nfjjE/rNyL" TargetMode="External"/><Relationship Id="rId18" Type="http://schemas.openxmlformats.org/officeDocument/2006/relationships/hyperlink" Target="https://paperpile.com/c/7nfjjE/KcFL" TargetMode="External"/><Relationship Id="rId113" Type="http://schemas.openxmlformats.org/officeDocument/2006/relationships/hyperlink" Target="http://dx.doi.org/10.24205/03276716.2020.823" TargetMode="External"/><Relationship Id="rId112" Type="http://schemas.openxmlformats.org/officeDocument/2006/relationships/hyperlink" Target="http://paperpile.com/b/7nfjjE/rNyL" TargetMode="External"/><Relationship Id="rId111" Type="http://schemas.openxmlformats.org/officeDocument/2006/relationships/hyperlink" Target="http://paperpile.com/b/7nfjjE/rNyL" TargetMode="External"/><Relationship Id="rId84" Type="http://schemas.openxmlformats.org/officeDocument/2006/relationships/hyperlink" Target="http://paperpile.com/b/7nfjjE/y9YP" TargetMode="External"/><Relationship Id="rId83" Type="http://schemas.openxmlformats.org/officeDocument/2006/relationships/hyperlink" Target="http://paperpile.com/b/7nfjjE/y9YP" TargetMode="External"/><Relationship Id="rId86" Type="http://schemas.openxmlformats.org/officeDocument/2006/relationships/hyperlink" Target="http://paperpile.com/b/7nfjjE/q03E" TargetMode="External"/><Relationship Id="rId85" Type="http://schemas.openxmlformats.org/officeDocument/2006/relationships/hyperlink" Target="http://paperpile.com/b/7nfjjE/q03E" TargetMode="External"/><Relationship Id="rId88" Type="http://schemas.openxmlformats.org/officeDocument/2006/relationships/hyperlink" Target="http://paperpile.com/b/7nfjjE/y9ks" TargetMode="External"/><Relationship Id="rId87" Type="http://schemas.openxmlformats.org/officeDocument/2006/relationships/hyperlink" Target="http://paperpile.com/b/7nfjjE/q03E" TargetMode="External"/><Relationship Id="rId89" Type="http://schemas.openxmlformats.org/officeDocument/2006/relationships/hyperlink" Target="http://paperpile.com/b/7nfjjE/y9ks" TargetMode="External"/><Relationship Id="rId80" Type="http://schemas.openxmlformats.org/officeDocument/2006/relationships/hyperlink" Target="http://dx.doi.org/10.3390/metabo12040289" TargetMode="External"/><Relationship Id="rId82" Type="http://schemas.openxmlformats.org/officeDocument/2006/relationships/hyperlink" Target="http://paperpile.com/b/7nfjjE/y9YP" TargetMode="External"/><Relationship Id="rId81" Type="http://schemas.openxmlformats.org/officeDocument/2006/relationships/hyperlink" Target="http://paperpile.com/b/7nfjjE/Jrm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7nfjjE/skSb" TargetMode="External"/><Relationship Id="rId5" Type="http://schemas.openxmlformats.org/officeDocument/2006/relationships/styles" Target="styles.xml"/><Relationship Id="rId6" Type="http://schemas.openxmlformats.org/officeDocument/2006/relationships/hyperlink" Target="https://paperpile.com/c/7nfjjE/y9ks" TargetMode="External"/><Relationship Id="rId7" Type="http://schemas.openxmlformats.org/officeDocument/2006/relationships/hyperlink" Target="https://paperpile.com/c/7nfjjE/JrmQ" TargetMode="External"/><Relationship Id="rId8" Type="http://schemas.openxmlformats.org/officeDocument/2006/relationships/hyperlink" Target="https://paperpile.com/c/7nfjjE/q03E" TargetMode="External"/><Relationship Id="rId73" Type="http://schemas.openxmlformats.org/officeDocument/2006/relationships/hyperlink" Target="http://paperpile.com/b/7nfjjE/KcFL" TargetMode="External"/><Relationship Id="rId72" Type="http://schemas.openxmlformats.org/officeDocument/2006/relationships/hyperlink" Target="http://paperpile.com/b/7nfjjE/KcFL" TargetMode="External"/><Relationship Id="rId75" Type="http://schemas.openxmlformats.org/officeDocument/2006/relationships/hyperlink" Target="http://paperpile.com/b/7nfjjE/UaIF" TargetMode="External"/><Relationship Id="rId74" Type="http://schemas.openxmlformats.org/officeDocument/2006/relationships/hyperlink" Target="http://paperpile.com/b/7nfjjE/UaIF" TargetMode="External"/><Relationship Id="rId77" Type="http://schemas.openxmlformats.org/officeDocument/2006/relationships/hyperlink" Target="http://paperpile.com/b/7nfjjE/JrmQ" TargetMode="External"/><Relationship Id="rId76" Type="http://schemas.openxmlformats.org/officeDocument/2006/relationships/hyperlink" Target="http://paperpile.com/b/7nfjjE/UaIF" TargetMode="External"/><Relationship Id="rId79" Type="http://schemas.openxmlformats.org/officeDocument/2006/relationships/hyperlink" Target="http://paperpile.com/b/7nfjjE/JrmQ" TargetMode="External"/><Relationship Id="rId78" Type="http://schemas.openxmlformats.org/officeDocument/2006/relationships/hyperlink" Target="http://paperpile.com/b/7nfjjE/JrmQ" TargetMode="External"/><Relationship Id="rId71" Type="http://schemas.openxmlformats.org/officeDocument/2006/relationships/hyperlink" Target="http://paperpile.com/b/7nfjjE/KcFL" TargetMode="External"/><Relationship Id="rId70" Type="http://schemas.openxmlformats.org/officeDocument/2006/relationships/hyperlink" Target="http://paperpile.com/b/7nfjjE/UQrr" TargetMode="External"/><Relationship Id="rId62" Type="http://schemas.openxmlformats.org/officeDocument/2006/relationships/hyperlink" Target="https://academic.oup.com/jamia/article-abstract/27/4/567/5739340" TargetMode="External"/><Relationship Id="rId61" Type="http://schemas.openxmlformats.org/officeDocument/2006/relationships/hyperlink" Target="http://paperpile.com/b/7nfjjE/65pD" TargetMode="External"/><Relationship Id="rId64" Type="http://schemas.openxmlformats.org/officeDocument/2006/relationships/hyperlink" Target="http://paperpile.com/b/7nfjjE/usVV" TargetMode="External"/><Relationship Id="rId63" Type="http://schemas.openxmlformats.org/officeDocument/2006/relationships/hyperlink" Target="http://paperpile.com/b/7nfjjE/65pD" TargetMode="External"/><Relationship Id="rId66" Type="http://schemas.openxmlformats.org/officeDocument/2006/relationships/hyperlink" Target="http://paperpile.com/b/7nfjjE/usVV" TargetMode="External"/><Relationship Id="rId65" Type="http://schemas.openxmlformats.org/officeDocument/2006/relationships/hyperlink" Target="http://paperpile.com/b/7nfjjE/usVV" TargetMode="External"/><Relationship Id="rId68" Type="http://schemas.openxmlformats.org/officeDocument/2006/relationships/hyperlink" Target="http://paperpile.com/b/7nfjjE/UQrr" TargetMode="External"/><Relationship Id="rId67" Type="http://schemas.openxmlformats.org/officeDocument/2006/relationships/hyperlink" Target="http://paperpile.com/b/7nfjjE/UQrr" TargetMode="External"/><Relationship Id="rId60" Type="http://schemas.openxmlformats.org/officeDocument/2006/relationships/hyperlink" Target="http://paperpile.com/b/7nfjjE/65pD" TargetMode="External"/><Relationship Id="rId69" Type="http://schemas.openxmlformats.org/officeDocument/2006/relationships/hyperlink" Target="http://paperpile.com/b/7nfjjE/UQrr" TargetMode="External"/><Relationship Id="rId51" Type="http://schemas.openxmlformats.org/officeDocument/2006/relationships/hyperlink" Target="http://paperpile.com/b/7nfjjE/8L7c" TargetMode="External"/><Relationship Id="rId50" Type="http://schemas.openxmlformats.org/officeDocument/2006/relationships/hyperlink" Target="http://paperpile.com/b/7nfjjE/cCal" TargetMode="External"/><Relationship Id="rId53" Type="http://schemas.openxmlformats.org/officeDocument/2006/relationships/hyperlink" Target="http://paperpile.com/b/7nfjjE/8L7c" TargetMode="External"/><Relationship Id="rId52" Type="http://schemas.openxmlformats.org/officeDocument/2006/relationships/hyperlink" Target="http://paperpile.com/b/7nfjjE/8L7c" TargetMode="External"/><Relationship Id="rId55" Type="http://schemas.openxmlformats.org/officeDocument/2006/relationships/hyperlink" Target="http://paperpile.com/b/7nfjjE/8L7c" TargetMode="External"/><Relationship Id="rId54" Type="http://schemas.openxmlformats.org/officeDocument/2006/relationships/hyperlink" Target="https://www.researchgate.net/profile/Mulualem-Bitew/publication/359976349_Machine_Learning_Approach_for_Green_Usage_of_Computing_Devices/links/6259646c4173a21a0d14efb1/Machine-Learning-Approach-for-Green-Usage-of-Computing-Devices.pdf#page=143" TargetMode="External"/><Relationship Id="rId57" Type="http://schemas.openxmlformats.org/officeDocument/2006/relationships/hyperlink" Target="http://paperpile.com/b/7nfjjE/Ah1m" TargetMode="External"/><Relationship Id="rId56" Type="http://schemas.openxmlformats.org/officeDocument/2006/relationships/hyperlink" Target="http://paperpile.com/b/7nfjjE/Ah1m" TargetMode="External"/><Relationship Id="rId59" Type="http://schemas.openxmlformats.org/officeDocument/2006/relationships/hyperlink" Target="http://paperpile.com/b/7nfjjE/65pD" TargetMode="External"/><Relationship Id="rId58" Type="http://schemas.openxmlformats.org/officeDocument/2006/relationships/hyperlink" Target="http://paperpile.com/b/7nfjjE/Ah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