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440"/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Diabetes Data Analysis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Insights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1879 patients from different age group.40 % of the patients are diagnosed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with diabetes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mass index of the patients ranging from 15 to 40. Identify BMI Status relationship with diabetic patients.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family history of diabetics and previous prediabetic history effect diabetes detection.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females diagnosed by gestational diabetes. Identify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lifestyle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effects 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female diabetic detections.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how effects BMI, Cholesterol, Blood pressure in diabetic detection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how to effects life style factor like alcohol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consumption and smoking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diabetic patients.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how to effect physical activity in patients’ daily life.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Recommendation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of the diabetic patient depends on BMI Cholesterol and blood pressure.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age group suffer from life style diseases.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life style dieses like Diabetes Cholesterol, Blood Pressure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quality of life.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Frequent health care tests help to early detection of unhealthy conditions.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care awareness classes help to improve knowledge about different reasons of diabetes and how to avoid it and importance of life style quality and diet quality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D26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D26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D26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D261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D261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D261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D261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D261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D261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D261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D261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D261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D26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D26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D26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D26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D26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D261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D261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261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D261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d9PiLT7f/ZsIZx2G7wDq9FCKQ==">CgMxLjA4AHIhMXJjeTNaNHVVYk9DUWN6ZzdWRmw1Z2YtbDN2RFh3WUpL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2025-11-22T02:17:00Z</dcterms:created>
  <dc:creator>Rahul</dc:creator>
</cp:coreProperties>
</file>