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FC54E" w14:textId="77777777" w:rsidR="00B476D4" w:rsidRDefault="00000000">
      <w:pPr>
        <w:pStyle w:val="Title"/>
      </w:pPr>
      <w:r>
        <w:t>Cart Abandonment Findings and Recommendations</w:t>
      </w:r>
    </w:p>
    <w:p w14:paraId="13E11CD4" w14:textId="77777777" w:rsidR="00B476D4" w:rsidRDefault="00000000">
      <w:pPr>
        <w:spacing w:after="160"/>
      </w:pPr>
      <w:r>
        <w:rPr>
          <w:color w:val="5F6C79"/>
        </w:rPr>
        <w:t>DA-04 capstone  |  Cosmetics e-commerce  |  October 2019 to February 2020</w:t>
      </w:r>
    </w:p>
    <w:p w14:paraId="3E1B9C2D" w14:textId="77777777" w:rsidR="00B476D4" w:rsidRDefault="00000000">
      <w:pPr>
        <w:pStyle w:val="Heading1"/>
      </w:pPr>
      <w:r>
        <w:t>Executive summary</w:t>
      </w:r>
    </w:p>
    <w:p w14:paraId="444335CD" w14:textId="77777777" w:rsidR="00B476D4" w:rsidRDefault="00000000">
      <w:r>
        <w:t>The largest measured drop-off occurs after shoppers add products to their carts. Over five months, 985,780 sessions included a cart event; 126,289 of those sessions also included a purchase, while 859,491 did not. The overall session-based cart abandonment rate is therefore 87.19%. This makes cart and checkout progression the clearest area for further investigation. Event data shows where shoppers stop progressing in the measured journey, but it cannot establish why they stop or prove that a proposed change will improve conversion.</w:t>
      </w:r>
    </w:p>
    <w:tbl>
      <w:tblPr>
        <w:tblW w:w="0" w:type="auto"/>
        <w:jc w:val="center"/>
        <w:tblLook w:val="04A0" w:firstRow="1" w:lastRow="0" w:firstColumn="1" w:lastColumn="0" w:noHBand="0" w:noVBand="1"/>
      </w:tblPr>
      <w:tblGrid>
        <w:gridCol w:w="2541"/>
        <w:gridCol w:w="2541"/>
        <w:gridCol w:w="2541"/>
        <w:gridCol w:w="2541"/>
      </w:tblGrid>
      <w:tr w:rsidR="00B476D4" w14:paraId="31A32768" w14:textId="77777777">
        <w:trPr>
          <w:jc w:val="center"/>
        </w:trPr>
        <w:tc>
          <w:tcPr>
            <w:tcW w:w="2541" w:type="dxa"/>
            <w:shd w:val="clear" w:color="auto" w:fill="17324D"/>
            <w:vAlign w:val="center"/>
          </w:tcPr>
          <w:p w14:paraId="6173CFF0" w14:textId="77777777" w:rsidR="00B476D4" w:rsidRDefault="00000000">
            <w:pPr>
              <w:spacing w:after="0" w:line="240" w:lineRule="auto"/>
            </w:pPr>
            <w:r>
              <w:rPr>
                <w:b/>
                <w:color w:val="FFFFFF"/>
                <w:sz w:val="30"/>
              </w:rPr>
              <w:t>87.19%</w:t>
            </w:r>
          </w:p>
        </w:tc>
        <w:tc>
          <w:tcPr>
            <w:tcW w:w="2541" w:type="dxa"/>
            <w:shd w:val="clear" w:color="auto" w:fill="17324D"/>
            <w:vAlign w:val="center"/>
          </w:tcPr>
          <w:p w14:paraId="32FD1B8E" w14:textId="77777777" w:rsidR="00B476D4" w:rsidRDefault="00000000">
            <w:pPr>
              <w:spacing w:after="0" w:line="240" w:lineRule="auto"/>
            </w:pPr>
            <w:r>
              <w:rPr>
                <w:b/>
                <w:color w:val="FFFFFF"/>
                <w:sz w:val="30"/>
              </w:rPr>
              <w:t>12.81%</w:t>
            </w:r>
          </w:p>
        </w:tc>
        <w:tc>
          <w:tcPr>
            <w:tcW w:w="2541" w:type="dxa"/>
            <w:shd w:val="clear" w:color="auto" w:fill="17324D"/>
            <w:vAlign w:val="center"/>
          </w:tcPr>
          <w:p w14:paraId="3316E99C" w14:textId="77777777" w:rsidR="00B476D4" w:rsidRDefault="00000000">
            <w:pPr>
              <w:spacing w:after="0" w:line="240" w:lineRule="auto"/>
            </w:pPr>
            <w:r>
              <w:rPr>
                <w:b/>
                <w:color w:val="FFFFFF"/>
                <w:sz w:val="30"/>
              </w:rPr>
              <w:t>23.03%</w:t>
            </w:r>
          </w:p>
        </w:tc>
        <w:tc>
          <w:tcPr>
            <w:tcW w:w="2541" w:type="dxa"/>
            <w:shd w:val="clear" w:color="auto" w:fill="17324D"/>
            <w:vAlign w:val="center"/>
          </w:tcPr>
          <w:p w14:paraId="110CC30B" w14:textId="77777777" w:rsidR="00B476D4" w:rsidRDefault="00000000">
            <w:pPr>
              <w:spacing w:after="0" w:line="240" w:lineRule="auto"/>
            </w:pPr>
            <w:r>
              <w:rPr>
                <w:b/>
                <w:color w:val="FFFFFF"/>
                <w:sz w:val="30"/>
              </w:rPr>
              <w:t>20.69M</w:t>
            </w:r>
          </w:p>
        </w:tc>
      </w:tr>
      <w:tr w:rsidR="00B476D4" w14:paraId="1BF11159" w14:textId="77777777">
        <w:trPr>
          <w:jc w:val="center"/>
        </w:trPr>
        <w:tc>
          <w:tcPr>
            <w:tcW w:w="2541" w:type="dxa"/>
            <w:shd w:val="clear" w:color="auto" w:fill="EAF1F5"/>
            <w:vAlign w:val="center"/>
          </w:tcPr>
          <w:p w14:paraId="5B2B9347" w14:textId="77777777" w:rsidR="00B476D4" w:rsidRDefault="00000000">
            <w:pPr>
              <w:spacing w:after="0" w:line="240" w:lineRule="auto"/>
            </w:pPr>
            <w:r>
              <w:rPr>
                <w:b/>
                <w:color w:val="17324D"/>
                <w:sz w:val="17"/>
              </w:rPr>
              <w:t>Cart abandonment</w:t>
            </w:r>
          </w:p>
        </w:tc>
        <w:tc>
          <w:tcPr>
            <w:tcW w:w="2541" w:type="dxa"/>
            <w:shd w:val="clear" w:color="auto" w:fill="EAF1F5"/>
            <w:vAlign w:val="center"/>
          </w:tcPr>
          <w:p w14:paraId="31BDE41C" w14:textId="77777777" w:rsidR="00B476D4" w:rsidRDefault="00000000">
            <w:pPr>
              <w:spacing w:after="0" w:line="240" w:lineRule="auto"/>
            </w:pPr>
            <w:r>
              <w:rPr>
                <w:b/>
                <w:color w:val="17324D"/>
                <w:sz w:val="17"/>
              </w:rPr>
              <w:t>Cart to purchase</w:t>
            </w:r>
          </w:p>
        </w:tc>
        <w:tc>
          <w:tcPr>
            <w:tcW w:w="2541" w:type="dxa"/>
            <w:shd w:val="clear" w:color="auto" w:fill="EAF1F5"/>
            <w:vAlign w:val="center"/>
          </w:tcPr>
          <w:p w14:paraId="5CE4CD6D" w14:textId="77777777" w:rsidR="00B476D4" w:rsidRDefault="00000000">
            <w:pPr>
              <w:spacing w:after="0" w:line="240" w:lineRule="auto"/>
            </w:pPr>
            <w:r>
              <w:rPr>
                <w:b/>
                <w:color w:val="17324D"/>
                <w:sz w:val="17"/>
              </w:rPr>
              <w:t>View to cart</w:t>
            </w:r>
          </w:p>
        </w:tc>
        <w:tc>
          <w:tcPr>
            <w:tcW w:w="2541" w:type="dxa"/>
            <w:shd w:val="clear" w:color="auto" w:fill="EAF1F5"/>
            <w:vAlign w:val="center"/>
          </w:tcPr>
          <w:p w14:paraId="50A9C4D5" w14:textId="77777777" w:rsidR="00B476D4" w:rsidRDefault="00000000">
            <w:pPr>
              <w:spacing w:after="0" w:line="240" w:lineRule="auto"/>
            </w:pPr>
            <w:r>
              <w:rPr>
                <w:b/>
                <w:color w:val="17324D"/>
                <w:sz w:val="17"/>
              </w:rPr>
              <w:t>Events analyzed</w:t>
            </w:r>
          </w:p>
        </w:tc>
      </w:tr>
    </w:tbl>
    <w:p w14:paraId="0A334160" w14:textId="77777777" w:rsidR="00B476D4" w:rsidRDefault="00000000">
      <w:pPr>
        <w:pStyle w:val="Heading1"/>
      </w:pPr>
      <w:r>
        <w:t>Funnel findings</w:t>
      </w:r>
    </w:p>
    <w:p w14:paraId="6B5FC2A2" w14:textId="77777777" w:rsidR="00B476D4" w:rsidRDefault="00000000">
      <w:r>
        <w:t>The analysis defines a session as progressing through three stages: a product view, a cart event, and a purchase event. Of 4,280,701 sessions with a view, 985,780 also had cart activity, a view-to-cart rate of 23.03%. Of those cart sessions, 126,289 also had a purchase, a cart-to-purchase rate of 12.81%. The remaining 859,491 cart sessions had no purchase event in the measured session data. Overall cart abandonment is calculated as cart sessions without a purchase divided by all cart sessions. The KPI comes from the overall summary, not from averaging monthly percentages.</w:t>
      </w:r>
    </w:p>
    <w:p w14:paraId="53BABAFC" w14:textId="77777777" w:rsidR="00B476D4" w:rsidRDefault="00000000">
      <w:pPr>
        <w:pStyle w:val="Heading2"/>
      </w:pPr>
      <w:r>
        <w:t>Monthly rates</w:t>
      </w:r>
    </w:p>
    <w:tbl>
      <w:tblPr>
        <w:tblW w:w="0" w:type="auto"/>
        <w:jc w:val="center"/>
        <w:tblLook w:val="04A0" w:firstRow="1" w:lastRow="0" w:firstColumn="1" w:lastColumn="0" w:noHBand="0" w:noVBand="1"/>
      </w:tblPr>
      <w:tblGrid>
        <w:gridCol w:w="2541"/>
        <w:gridCol w:w="2541"/>
        <w:gridCol w:w="2541"/>
        <w:gridCol w:w="2541"/>
      </w:tblGrid>
      <w:tr w:rsidR="00B476D4" w14:paraId="71717A47" w14:textId="77777777">
        <w:trPr>
          <w:jc w:val="center"/>
        </w:trPr>
        <w:tc>
          <w:tcPr>
            <w:tcW w:w="2541" w:type="dxa"/>
            <w:shd w:val="clear" w:color="auto" w:fill="17324D"/>
            <w:vAlign w:val="center"/>
          </w:tcPr>
          <w:p w14:paraId="3DA43262" w14:textId="77777777" w:rsidR="00B476D4" w:rsidRDefault="00000000">
            <w:pPr>
              <w:spacing w:after="0" w:line="240" w:lineRule="auto"/>
            </w:pPr>
            <w:r>
              <w:rPr>
                <w:b/>
                <w:color w:val="FFFFFF"/>
                <w:sz w:val="18"/>
              </w:rPr>
              <w:t>Month</w:t>
            </w:r>
          </w:p>
        </w:tc>
        <w:tc>
          <w:tcPr>
            <w:tcW w:w="2541" w:type="dxa"/>
            <w:shd w:val="clear" w:color="auto" w:fill="17324D"/>
            <w:vAlign w:val="center"/>
          </w:tcPr>
          <w:p w14:paraId="5F2DB576" w14:textId="77777777" w:rsidR="00B476D4" w:rsidRDefault="00000000">
            <w:pPr>
              <w:spacing w:after="0" w:line="240" w:lineRule="auto"/>
            </w:pPr>
            <w:r>
              <w:rPr>
                <w:b/>
                <w:color w:val="FFFFFF"/>
                <w:sz w:val="18"/>
              </w:rPr>
              <w:t>View to cart</w:t>
            </w:r>
          </w:p>
        </w:tc>
        <w:tc>
          <w:tcPr>
            <w:tcW w:w="2541" w:type="dxa"/>
            <w:shd w:val="clear" w:color="auto" w:fill="17324D"/>
            <w:vAlign w:val="center"/>
          </w:tcPr>
          <w:p w14:paraId="7797643A" w14:textId="77777777" w:rsidR="00B476D4" w:rsidRDefault="00000000">
            <w:pPr>
              <w:spacing w:after="0" w:line="240" w:lineRule="auto"/>
            </w:pPr>
            <w:r>
              <w:rPr>
                <w:b/>
                <w:color w:val="FFFFFF"/>
                <w:sz w:val="18"/>
              </w:rPr>
              <w:t>Cart to purchase</w:t>
            </w:r>
          </w:p>
        </w:tc>
        <w:tc>
          <w:tcPr>
            <w:tcW w:w="2541" w:type="dxa"/>
            <w:shd w:val="clear" w:color="auto" w:fill="17324D"/>
            <w:vAlign w:val="center"/>
          </w:tcPr>
          <w:p w14:paraId="05ED08A6" w14:textId="77777777" w:rsidR="00B476D4" w:rsidRDefault="00000000">
            <w:pPr>
              <w:spacing w:after="0" w:line="240" w:lineRule="auto"/>
            </w:pPr>
            <w:r>
              <w:rPr>
                <w:b/>
                <w:color w:val="FFFFFF"/>
                <w:sz w:val="18"/>
              </w:rPr>
              <w:t>Cart abandonment</w:t>
            </w:r>
          </w:p>
        </w:tc>
      </w:tr>
      <w:tr w:rsidR="00B476D4" w14:paraId="02DDD371" w14:textId="77777777">
        <w:trPr>
          <w:jc w:val="center"/>
        </w:trPr>
        <w:tc>
          <w:tcPr>
            <w:tcW w:w="2541" w:type="dxa"/>
            <w:shd w:val="clear" w:color="auto" w:fill="F0F4F7"/>
            <w:vAlign w:val="center"/>
          </w:tcPr>
          <w:p w14:paraId="296CFBEB" w14:textId="77777777" w:rsidR="00B476D4" w:rsidRDefault="00000000">
            <w:pPr>
              <w:spacing w:after="0" w:line="240" w:lineRule="auto"/>
            </w:pPr>
            <w:r>
              <w:rPr>
                <w:sz w:val="18"/>
              </w:rPr>
              <w:t>Oct 2019</w:t>
            </w:r>
          </w:p>
        </w:tc>
        <w:tc>
          <w:tcPr>
            <w:tcW w:w="2541" w:type="dxa"/>
            <w:shd w:val="clear" w:color="auto" w:fill="F0F4F7"/>
            <w:vAlign w:val="center"/>
          </w:tcPr>
          <w:p w14:paraId="55091F3E" w14:textId="77777777" w:rsidR="00B476D4" w:rsidRDefault="00000000">
            <w:pPr>
              <w:spacing w:after="0" w:line="240" w:lineRule="auto"/>
            </w:pPr>
            <w:r>
              <w:rPr>
                <w:sz w:val="18"/>
              </w:rPr>
              <w:t>27.66%</w:t>
            </w:r>
          </w:p>
        </w:tc>
        <w:tc>
          <w:tcPr>
            <w:tcW w:w="2541" w:type="dxa"/>
            <w:shd w:val="clear" w:color="auto" w:fill="F0F4F7"/>
            <w:vAlign w:val="center"/>
          </w:tcPr>
          <w:p w14:paraId="5A006231" w14:textId="77777777" w:rsidR="00B476D4" w:rsidRDefault="00000000">
            <w:pPr>
              <w:spacing w:after="0" w:line="240" w:lineRule="auto"/>
            </w:pPr>
            <w:r>
              <w:rPr>
                <w:sz w:val="18"/>
              </w:rPr>
              <w:t>10.77%</w:t>
            </w:r>
          </w:p>
        </w:tc>
        <w:tc>
          <w:tcPr>
            <w:tcW w:w="2541" w:type="dxa"/>
            <w:shd w:val="clear" w:color="auto" w:fill="F0F4F7"/>
            <w:vAlign w:val="center"/>
          </w:tcPr>
          <w:p w14:paraId="5BC3D561" w14:textId="77777777" w:rsidR="00B476D4" w:rsidRDefault="00000000">
            <w:pPr>
              <w:spacing w:after="0" w:line="240" w:lineRule="auto"/>
            </w:pPr>
            <w:r>
              <w:rPr>
                <w:sz w:val="18"/>
              </w:rPr>
              <w:t>89.23%</w:t>
            </w:r>
          </w:p>
        </w:tc>
      </w:tr>
      <w:tr w:rsidR="00B476D4" w14:paraId="7295BBC5" w14:textId="77777777">
        <w:trPr>
          <w:jc w:val="center"/>
        </w:trPr>
        <w:tc>
          <w:tcPr>
            <w:tcW w:w="2541" w:type="dxa"/>
            <w:shd w:val="clear" w:color="auto" w:fill="FFFFFF"/>
            <w:vAlign w:val="center"/>
          </w:tcPr>
          <w:p w14:paraId="13054A6E" w14:textId="77777777" w:rsidR="00B476D4" w:rsidRDefault="00000000">
            <w:pPr>
              <w:spacing w:after="0" w:line="240" w:lineRule="auto"/>
            </w:pPr>
            <w:r>
              <w:rPr>
                <w:sz w:val="18"/>
              </w:rPr>
              <w:t>Nov 2019</w:t>
            </w:r>
          </w:p>
        </w:tc>
        <w:tc>
          <w:tcPr>
            <w:tcW w:w="2541" w:type="dxa"/>
            <w:shd w:val="clear" w:color="auto" w:fill="FFFFFF"/>
            <w:vAlign w:val="center"/>
          </w:tcPr>
          <w:p w14:paraId="4D05102A" w14:textId="77777777" w:rsidR="00B476D4" w:rsidRDefault="00000000">
            <w:pPr>
              <w:spacing w:after="0" w:line="240" w:lineRule="auto"/>
            </w:pPr>
            <w:r>
              <w:rPr>
                <w:sz w:val="18"/>
              </w:rPr>
              <w:t>24.05%</w:t>
            </w:r>
          </w:p>
        </w:tc>
        <w:tc>
          <w:tcPr>
            <w:tcW w:w="2541" w:type="dxa"/>
            <w:shd w:val="clear" w:color="auto" w:fill="FFFFFF"/>
            <w:vAlign w:val="center"/>
          </w:tcPr>
          <w:p w14:paraId="564A008F" w14:textId="77777777" w:rsidR="00B476D4" w:rsidRDefault="00000000">
            <w:pPr>
              <w:spacing w:after="0" w:line="240" w:lineRule="auto"/>
            </w:pPr>
            <w:r>
              <w:rPr>
                <w:sz w:val="18"/>
              </w:rPr>
              <w:t>13.77%</w:t>
            </w:r>
          </w:p>
        </w:tc>
        <w:tc>
          <w:tcPr>
            <w:tcW w:w="2541" w:type="dxa"/>
            <w:shd w:val="clear" w:color="auto" w:fill="FFFFFF"/>
            <w:vAlign w:val="center"/>
          </w:tcPr>
          <w:p w14:paraId="70045DF7" w14:textId="77777777" w:rsidR="00B476D4" w:rsidRDefault="00000000">
            <w:pPr>
              <w:spacing w:after="0" w:line="240" w:lineRule="auto"/>
            </w:pPr>
            <w:r>
              <w:rPr>
                <w:sz w:val="18"/>
              </w:rPr>
              <w:t>86.23%</w:t>
            </w:r>
          </w:p>
        </w:tc>
      </w:tr>
      <w:tr w:rsidR="00B476D4" w14:paraId="2956C186" w14:textId="77777777">
        <w:trPr>
          <w:jc w:val="center"/>
        </w:trPr>
        <w:tc>
          <w:tcPr>
            <w:tcW w:w="2541" w:type="dxa"/>
            <w:shd w:val="clear" w:color="auto" w:fill="F0F4F7"/>
            <w:vAlign w:val="center"/>
          </w:tcPr>
          <w:p w14:paraId="75517C42" w14:textId="77777777" w:rsidR="00B476D4" w:rsidRDefault="00000000">
            <w:pPr>
              <w:spacing w:after="0" w:line="240" w:lineRule="auto"/>
            </w:pPr>
            <w:r>
              <w:rPr>
                <w:sz w:val="18"/>
              </w:rPr>
              <w:t>Dec 2019</w:t>
            </w:r>
          </w:p>
        </w:tc>
        <w:tc>
          <w:tcPr>
            <w:tcW w:w="2541" w:type="dxa"/>
            <w:shd w:val="clear" w:color="auto" w:fill="F0F4F7"/>
            <w:vAlign w:val="center"/>
          </w:tcPr>
          <w:p w14:paraId="5218EE61" w14:textId="77777777" w:rsidR="00B476D4" w:rsidRDefault="00000000">
            <w:pPr>
              <w:spacing w:after="0" w:line="240" w:lineRule="auto"/>
            </w:pPr>
            <w:r>
              <w:rPr>
                <w:sz w:val="18"/>
              </w:rPr>
              <w:t>20.76%</w:t>
            </w:r>
          </w:p>
        </w:tc>
        <w:tc>
          <w:tcPr>
            <w:tcW w:w="2541" w:type="dxa"/>
            <w:shd w:val="clear" w:color="auto" w:fill="F0F4F7"/>
            <w:vAlign w:val="center"/>
          </w:tcPr>
          <w:p w14:paraId="217DE990" w14:textId="77777777" w:rsidR="00B476D4" w:rsidRDefault="00000000">
            <w:pPr>
              <w:spacing w:after="0" w:line="240" w:lineRule="auto"/>
            </w:pPr>
            <w:r>
              <w:rPr>
                <w:sz w:val="18"/>
              </w:rPr>
              <w:t>14.19%</w:t>
            </w:r>
          </w:p>
        </w:tc>
        <w:tc>
          <w:tcPr>
            <w:tcW w:w="2541" w:type="dxa"/>
            <w:shd w:val="clear" w:color="auto" w:fill="F0F4F7"/>
            <w:vAlign w:val="center"/>
          </w:tcPr>
          <w:p w14:paraId="7676097C" w14:textId="77777777" w:rsidR="00B476D4" w:rsidRDefault="00000000">
            <w:pPr>
              <w:spacing w:after="0" w:line="240" w:lineRule="auto"/>
            </w:pPr>
            <w:r>
              <w:rPr>
                <w:sz w:val="18"/>
              </w:rPr>
              <w:t>85.81%</w:t>
            </w:r>
          </w:p>
        </w:tc>
      </w:tr>
      <w:tr w:rsidR="00B476D4" w14:paraId="378181AB" w14:textId="77777777">
        <w:trPr>
          <w:jc w:val="center"/>
        </w:trPr>
        <w:tc>
          <w:tcPr>
            <w:tcW w:w="2541" w:type="dxa"/>
            <w:shd w:val="clear" w:color="auto" w:fill="FFFFFF"/>
            <w:vAlign w:val="center"/>
          </w:tcPr>
          <w:p w14:paraId="004B05AE" w14:textId="77777777" w:rsidR="00B476D4" w:rsidRDefault="00000000">
            <w:pPr>
              <w:spacing w:after="0" w:line="240" w:lineRule="auto"/>
            </w:pPr>
            <w:r>
              <w:rPr>
                <w:sz w:val="18"/>
              </w:rPr>
              <w:t>Jan 2020</w:t>
            </w:r>
          </w:p>
        </w:tc>
        <w:tc>
          <w:tcPr>
            <w:tcW w:w="2541" w:type="dxa"/>
            <w:shd w:val="clear" w:color="auto" w:fill="FFFFFF"/>
            <w:vAlign w:val="center"/>
          </w:tcPr>
          <w:p w14:paraId="59258913" w14:textId="77777777" w:rsidR="00B476D4" w:rsidRDefault="00000000">
            <w:pPr>
              <w:spacing w:after="0" w:line="240" w:lineRule="auto"/>
            </w:pPr>
            <w:r>
              <w:rPr>
                <w:sz w:val="18"/>
              </w:rPr>
              <w:t>21.47%</w:t>
            </w:r>
          </w:p>
        </w:tc>
        <w:tc>
          <w:tcPr>
            <w:tcW w:w="2541" w:type="dxa"/>
            <w:shd w:val="clear" w:color="auto" w:fill="FFFFFF"/>
            <w:vAlign w:val="center"/>
          </w:tcPr>
          <w:p w14:paraId="100885D5" w14:textId="77777777" w:rsidR="00B476D4" w:rsidRDefault="00000000">
            <w:pPr>
              <w:spacing w:after="0" w:line="240" w:lineRule="auto"/>
            </w:pPr>
            <w:r>
              <w:rPr>
                <w:sz w:val="18"/>
              </w:rPr>
              <w:t>13.31%</w:t>
            </w:r>
          </w:p>
        </w:tc>
        <w:tc>
          <w:tcPr>
            <w:tcW w:w="2541" w:type="dxa"/>
            <w:shd w:val="clear" w:color="auto" w:fill="FFFFFF"/>
            <w:vAlign w:val="center"/>
          </w:tcPr>
          <w:p w14:paraId="3202FBC5" w14:textId="77777777" w:rsidR="00B476D4" w:rsidRDefault="00000000">
            <w:pPr>
              <w:spacing w:after="0" w:line="240" w:lineRule="auto"/>
            </w:pPr>
            <w:r>
              <w:rPr>
                <w:sz w:val="18"/>
              </w:rPr>
              <w:t>86.69%</w:t>
            </w:r>
          </w:p>
        </w:tc>
      </w:tr>
      <w:tr w:rsidR="00B476D4" w14:paraId="71EF2714" w14:textId="77777777">
        <w:trPr>
          <w:jc w:val="center"/>
        </w:trPr>
        <w:tc>
          <w:tcPr>
            <w:tcW w:w="2541" w:type="dxa"/>
            <w:shd w:val="clear" w:color="auto" w:fill="F0F4F7"/>
            <w:vAlign w:val="center"/>
          </w:tcPr>
          <w:p w14:paraId="7E58536F" w14:textId="77777777" w:rsidR="00B476D4" w:rsidRDefault="00000000">
            <w:pPr>
              <w:spacing w:after="0" w:line="240" w:lineRule="auto"/>
            </w:pPr>
            <w:r>
              <w:rPr>
                <w:sz w:val="18"/>
              </w:rPr>
              <w:t>Feb 2020</w:t>
            </w:r>
          </w:p>
        </w:tc>
        <w:tc>
          <w:tcPr>
            <w:tcW w:w="2541" w:type="dxa"/>
            <w:shd w:val="clear" w:color="auto" w:fill="F0F4F7"/>
            <w:vAlign w:val="center"/>
          </w:tcPr>
          <w:p w14:paraId="1D85D31F" w14:textId="77777777" w:rsidR="00B476D4" w:rsidRDefault="00000000">
            <w:pPr>
              <w:spacing w:after="0" w:line="240" w:lineRule="auto"/>
            </w:pPr>
            <w:r>
              <w:rPr>
                <w:sz w:val="18"/>
              </w:rPr>
              <w:t>21.29%</w:t>
            </w:r>
          </w:p>
        </w:tc>
        <w:tc>
          <w:tcPr>
            <w:tcW w:w="2541" w:type="dxa"/>
            <w:shd w:val="clear" w:color="auto" w:fill="F0F4F7"/>
            <w:vAlign w:val="center"/>
          </w:tcPr>
          <w:p w14:paraId="3201013D" w14:textId="77777777" w:rsidR="00B476D4" w:rsidRDefault="00000000">
            <w:pPr>
              <w:spacing w:after="0" w:line="240" w:lineRule="auto"/>
            </w:pPr>
            <w:r>
              <w:rPr>
                <w:sz w:val="18"/>
              </w:rPr>
              <w:t>12.48%</w:t>
            </w:r>
          </w:p>
        </w:tc>
        <w:tc>
          <w:tcPr>
            <w:tcW w:w="2541" w:type="dxa"/>
            <w:shd w:val="clear" w:color="auto" w:fill="F0F4F7"/>
            <w:vAlign w:val="center"/>
          </w:tcPr>
          <w:p w14:paraId="6B9944BE" w14:textId="77777777" w:rsidR="00B476D4" w:rsidRDefault="00000000">
            <w:pPr>
              <w:spacing w:after="0" w:line="240" w:lineRule="auto"/>
            </w:pPr>
            <w:r>
              <w:rPr>
                <w:sz w:val="18"/>
              </w:rPr>
              <w:t>87.52%</w:t>
            </w:r>
          </w:p>
        </w:tc>
      </w:tr>
    </w:tbl>
    <w:p w14:paraId="7EBB266B" w14:textId="77777777" w:rsidR="00B476D4" w:rsidRDefault="00000000">
      <w:r>
        <w:t>Cart abandonment remained high throughout the period, ranging from 85.81% in December to 89.23% in October. Cart-to-purchase conversion improved from 10.77% in October to a period high of 14.19% in December, then declined to 12.48% in February. View-to-cart conversion moved in the opposite direction early in the period: it was highest in October (27.66%), fell to 20.76% in December, and stayed near 21% in January and February. These are descriptive month-to-month differences; traffic mix, promotions, stock, device use, and other influences have not been controlled here.</w:t>
      </w:r>
    </w:p>
    <w:p w14:paraId="6CBDD652" w14:textId="77777777" w:rsidR="00B476D4" w:rsidRDefault="00000000">
      <w:r>
        <w:br w:type="page"/>
      </w:r>
    </w:p>
    <w:p w14:paraId="49D406F1" w14:textId="77777777" w:rsidR="00B476D4" w:rsidRDefault="00000000">
      <w:pPr>
        <w:pStyle w:val="Heading1"/>
      </w:pPr>
      <w:r>
        <w:lastRenderedPageBreak/>
        <w:t>Product patterns and data quality</w:t>
      </w:r>
    </w:p>
    <w:p w14:paraId="661B2ED4" w14:textId="77777777" w:rsidR="00B476D4" w:rsidRDefault="00000000">
      <w:pPr>
        <w:pStyle w:val="Heading2"/>
      </w:pPr>
      <w:r>
        <w:t>Top buying brands</w:t>
      </w:r>
    </w:p>
    <w:p w14:paraId="3BE06EB5" w14:textId="77777777" w:rsidR="00B476D4" w:rsidRDefault="00000000">
      <w:r>
        <w:t>The all-period purchase-event ranking is led by runail (111,408 events), followed by irisk (73,806), masura (49,751), grattol (49,542), and bpw.style (37,943). The ranking gives the business a useful starting point for product-level investigation: compare product views, cart additions, removals, and purchases for leading brands, then check whether differences remain after accounting for exposure and stock availability. The values are purchase events, not unique shoppers or distinct orders. They should not be described as market share, profitability, or proof that a brand causes better conversion.</w:t>
      </w:r>
    </w:p>
    <w:p w14:paraId="2C03DA9D" w14:textId="77777777" w:rsidR="00B476D4" w:rsidRDefault="00000000">
      <w:pPr>
        <w:pStyle w:val="Heading2"/>
      </w:pPr>
      <w:r>
        <w:t>Category labels are not available in the current output</w:t>
      </w:r>
    </w:p>
    <w:p w14:paraId="2AE6901A" w14:textId="77777777" w:rsidR="00B476D4" w:rsidRDefault="00000000">
      <w:r>
        <w:t>The top-category output identifies categories with numeric category_id values, but category_code is NULL for the listed rows. The data dictionary also notes that category_code is frequently missing. As a result, the current category ranking is not interpretable as readable category names. A verified product-to-category lookup or a source with complete category labels is needed before making category-level recommendations. The report therefore does not infer category names from the IDs.</w:t>
      </w:r>
    </w:p>
    <w:p w14:paraId="6A3311D4" w14:textId="77777777" w:rsidR="00B476D4" w:rsidRDefault="00000000">
      <w:pPr>
        <w:pStyle w:val="Heading2"/>
      </w:pPr>
      <w:r>
        <w:t>Price records require a validation check</w:t>
      </w:r>
    </w:p>
    <w:p w14:paraId="443FF0CB" w14:textId="77777777" w:rsidR="00B476D4" w:rsidRDefault="00000000">
      <w:r>
        <w:t>Zero-price events were reported at 6,066 in October, 11,625 in November, 7,589 in December, and 7,623 in January, then rose to 71,254 in February. Negative-price events ranged from 17 to 39 per month. The cleaning process retained these observations rather than replacing or dropping them. The February increase may reflect a source, tracking, or business rule issue, but this analysis cannot determine which. Confirm the price field definition, currency, and February records before interpreting price segments or treating the summed purchase-event value of about 6.35 million as recognized revenue.</w:t>
      </w:r>
    </w:p>
    <w:p w14:paraId="64058279" w14:textId="77777777" w:rsidR="00B476D4" w:rsidRDefault="00000000">
      <w:pPr>
        <w:pStyle w:val="Heading1"/>
      </w:pPr>
      <w:r>
        <w:t>Business impact</w:t>
      </w:r>
    </w:p>
    <w:p w14:paraId="426B36EC" w14:textId="77777777" w:rsidR="00B476D4" w:rsidRDefault="00000000">
      <w:r>
        <w:t>The funnel identifies a measurable opportunity area: a large number of sessions add items to carts, while a much smaller share of those sessions also records a purchase. Better visibility into the steps between cart and payment can help the business prioritize checkout investigation and evaluate recovery ideas. The brand ranking can guide which product groups to include in follow-up analysis, while the month trend can help focus a review of operating conditions that changed over time.</w:t>
      </w:r>
    </w:p>
    <w:p w14:paraId="2626C2D8" w14:textId="77777777" w:rsidR="00B476D4" w:rsidRDefault="00000000">
      <w:r>
        <w:t>A sensitivity scenario helps size the opportunity without presenting a forecast. If cart-to-purchase conversion increased by 1 percentage point on the observed 985,780 cart sessions, and the session denominator stayed the same, about 9,858 additional cart sessions would include a purchase (985,780 × 0.01). This is not a predicted result. It does not translate directly into revenue because purchase-event values, orders, units, currency, margins, repeat behavior, and customer-level outcomes have not been validated for forecasting.</w:t>
      </w:r>
    </w:p>
    <w:p w14:paraId="380D9A68" w14:textId="77777777" w:rsidR="00B476D4" w:rsidRDefault="00000000">
      <w:pPr>
        <w:pStyle w:val="Heading1"/>
      </w:pPr>
      <w:r>
        <w:t>Scope and limitations</w:t>
      </w:r>
    </w:p>
    <w:p w14:paraId="7CE95B9F" w14:textId="77777777" w:rsidR="00B476D4" w:rsidRDefault="00000000">
      <w:r>
        <w:t>The source contains 20,692,840 event rows from five monthly CSV files, October 2019 through February 2020. Cleaning converted event_time to UTC and trimmed text fields; all rows were retained. Missing values and unusual prices were preserved for analysis. The data dictionary identifies user_session as the session ID; rows without it cannot contribute to session-level KPIs. Exact duplicate checking was limited to the first 10,000 rows of October, so duplicates have not been ruled out across all five files. These observations describe recorded events and associations only. They do not reveal shopper intent or prove causes of abandonment.</w:t>
      </w:r>
    </w:p>
    <w:p w14:paraId="1F6CECC8" w14:textId="77777777" w:rsidR="00B476D4" w:rsidRDefault="00000000">
      <w:r>
        <w:br w:type="page"/>
      </w:r>
    </w:p>
    <w:p w14:paraId="30C47E9D" w14:textId="77777777" w:rsidR="00B476D4" w:rsidRDefault="00000000">
      <w:pPr>
        <w:pStyle w:val="Heading1"/>
      </w:pPr>
      <w:r>
        <w:lastRenderedPageBreak/>
        <w:t>Recommendations</w:t>
      </w:r>
    </w:p>
    <w:p w14:paraId="7D3A0B39" w14:textId="77777777" w:rsidR="00B476D4" w:rsidRDefault="00000000">
      <w:pPr>
        <w:spacing w:after="140"/>
        <w:ind w:left="216" w:hanging="216"/>
      </w:pPr>
      <w:r>
        <w:rPr>
          <w:b/>
        </w:rPr>
        <w:t xml:space="preserve">1. Audit the cart-to-payment path. </w:t>
      </w:r>
      <w:r>
        <w:t>Map the steps from add-to-cart through payment confirmation on mobile and desktop. Review shipping and tax disclosure, delivery estimates, stock status, guest checkout, payment choices, form errors, and page performance. Add event tracking at each step so the business can see where session progression changes. Start with diagnosis before choosing a redesign.</w:t>
      </w:r>
    </w:p>
    <w:p w14:paraId="36CD80C5" w14:textId="77777777" w:rsidR="00B476D4" w:rsidRDefault="00000000">
      <w:pPr>
        <w:spacing w:after="140"/>
        <w:ind w:left="216" w:hanging="216"/>
      </w:pPr>
      <w:r>
        <w:rPr>
          <w:b/>
        </w:rPr>
        <w:t xml:space="preserve">2. Run a controlled cart recovery pilot. </w:t>
      </w:r>
      <w:r>
        <w:t>Test a single recovery action, such as a reminder or saved-cart prompt, against a comparable holdout group. Limit the pilot to eligible cart sessions and define a clear exposure window. Compare the share of sessions reaching purchase, and monitor opt-outs, complaints, discount use, and margin as guardrails. Keep the approach only if the measured gain is reliable and the guardrails remain acceptable.</w:t>
      </w:r>
    </w:p>
    <w:p w14:paraId="04D1D12C" w14:textId="77777777" w:rsidR="00B476D4" w:rsidRDefault="00000000">
      <w:pPr>
        <w:spacing w:after="140"/>
        <w:ind w:left="216" w:hanging="216"/>
      </w:pPr>
      <w:r>
        <w:rPr>
          <w:b/>
        </w:rPr>
        <w:t xml:space="preserve">3. Investigate the monthly conversion variation. </w:t>
      </w:r>
      <w:r>
        <w:t>Compare October with November and December, then compare those months with January and February. Bring in available device, traffic-source, promotion, stock, delivery, and payment-error information. Treat each as a candidate explanation, not a proven cause. Use the same funnel definitions and date boundaries in every comparison so changes are interpretable.</w:t>
      </w:r>
    </w:p>
    <w:p w14:paraId="00524307" w14:textId="77777777" w:rsidR="00B476D4" w:rsidRDefault="00000000">
      <w:pPr>
        <w:spacing w:after="140"/>
        <w:ind w:left="216" w:hanging="216"/>
      </w:pPr>
      <w:r>
        <w:rPr>
          <w:b/>
        </w:rPr>
        <w:t xml:space="preserve">4. Validate price and event data before pricing decisions. </w:t>
      </w:r>
      <w:r>
        <w:t>Trace the February zero-price spike to source records and confirm whether zero is a valid free item, a missing-price placeholder, or a tracking issue. Confirm price currency and whether purchase-event value represents item value, order value, or another measure. Review negative prices with the business owner and retain an audit trail for any future correction.</w:t>
      </w:r>
    </w:p>
    <w:p w14:paraId="6EE2264D" w14:textId="77777777" w:rsidR="00B476D4" w:rsidRDefault="00000000">
      <w:pPr>
        <w:spacing w:after="140"/>
        <w:ind w:left="216" w:hanging="216"/>
      </w:pPr>
      <w:r>
        <w:rPr>
          <w:b/>
        </w:rPr>
        <w:t xml:space="preserve">5. Complete data quality and product lookup work. </w:t>
      </w:r>
      <w:r>
        <w:t>Run an exact-duplicate assessment across every month and document the rule for deciding whether repeated events are legitimate or duplicated. Measure missing user_session, brand, and category_code values by event type and month. Obtain an authoritative category lookup; until then, avoid displaying opaque category IDs as if they were customer-friendly labels.</w:t>
      </w:r>
    </w:p>
    <w:p w14:paraId="74E4521B" w14:textId="77777777" w:rsidR="00B476D4" w:rsidRDefault="00000000">
      <w:pPr>
        <w:pStyle w:val="Heading1"/>
      </w:pPr>
      <w:r>
        <w:t>How to measure progress</w:t>
      </w:r>
    </w:p>
    <w:p w14:paraId="762EC0E1" w14:textId="77777777" w:rsidR="00B476D4" w:rsidRDefault="00000000">
      <w:r>
        <w:t>For checkout and recovery changes, use cart-to-purchase conversion among eligible sessions as the primary measure, with the numerator and denominator defined before launch. Track stage counts as well as rates so a rate shift is not mistaken for a larger number of buyers when traffic volume changed. Where a controlled test is possible, compare treatment and holdout groups over the same dates and eligibility rules. Report the observed effect with its sample size and uncertainty, then check purchase value and margin only after the underlying price and order definitions are verified.</w:t>
      </w:r>
    </w:p>
    <w:p w14:paraId="7AAA674E" w14:textId="77777777" w:rsidR="00B476D4" w:rsidRDefault="00000000">
      <w:pPr>
        <w:pStyle w:val="Heading1"/>
      </w:pPr>
      <w:r>
        <w:t>Conclusion</w:t>
      </w:r>
    </w:p>
    <w:p w14:paraId="764A0701" w14:textId="77777777" w:rsidR="00B476D4" w:rsidRDefault="00000000">
      <w:r>
        <w:t>Across the October 2019 to February 2020 data, the largest observed loss is between cart activity and a purchase: 87.19% of cart sessions had no purchase recorded in the session. This makes checkout progression the strongest next area to investigate, with a controlled recovery test as one practical follow-up. Brand patterns offer a useful product lens, but category labels and price records need validation. The recommendations focus on measurement, data quality, and testing so future decisions can rely on evidence about both customer progression and business outcomes.</w:t>
      </w:r>
    </w:p>
    <w:p w14:paraId="10FBB251" w14:textId="77777777" w:rsidR="00B476D4" w:rsidRDefault="00000000">
      <w:pPr>
        <w:spacing w:before="80" w:after="0"/>
      </w:pPr>
      <w:r>
        <w:rPr>
          <w:i/>
          <w:color w:val="5F6C79"/>
          <w:sz w:val="17"/>
        </w:rPr>
        <w:t>Source: eCommerce Events History in Cosmetics Shop, Kaggle dataset by mkechinov, credited to REES46 Marketing Platform. Funnel and product summaries use the project SQL and Python analysis outputs.</w:t>
      </w:r>
    </w:p>
    <w:sectPr w:rsidR="00B476D4" w:rsidSect="00034616">
      <w:footerReference w:type="default" r:id="rId8"/>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D9CB" w14:textId="77777777" w:rsidR="001D6468" w:rsidRDefault="001D6468">
      <w:pPr>
        <w:spacing w:after="0" w:line="240" w:lineRule="auto"/>
      </w:pPr>
      <w:r>
        <w:separator/>
      </w:r>
    </w:p>
  </w:endnote>
  <w:endnote w:type="continuationSeparator" w:id="0">
    <w:p w14:paraId="5289C54B" w14:textId="77777777" w:rsidR="001D6468" w:rsidRDefault="001D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08D8" w14:textId="77777777" w:rsidR="00B476D4" w:rsidRDefault="00000000">
    <w:pPr>
      <w:pStyle w:val="Footer"/>
      <w:jc w:val="right"/>
    </w:pPr>
    <w:r>
      <w:rPr>
        <w:color w:val="707A84"/>
        <w:sz w:val="16"/>
      </w:rPr>
      <w:t>DA-</w:t>
    </w:r>
    <w:proofErr w:type="gramStart"/>
    <w:r>
      <w:rPr>
        <w:color w:val="707A84"/>
        <w:sz w:val="16"/>
      </w:rPr>
      <w:t>04  |</w:t>
    </w:r>
    <w:proofErr w:type="gramEnd"/>
    <w:r>
      <w:rPr>
        <w:color w:val="707A84"/>
        <w:sz w:val="16"/>
      </w:rPr>
      <w:t xml:space="preserve">  Findings and </w:t>
    </w:r>
    <w:proofErr w:type="gramStart"/>
    <w:r>
      <w:rPr>
        <w:color w:val="707A84"/>
        <w:sz w:val="16"/>
      </w:rPr>
      <w:t>recommendations  |</w:t>
    </w:r>
    <w:proofErr w:type="gramEnd"/>
    <w:r>
      <w:rPr>
        <w:color w:val="707A84"/>
        <w:sz w:val="16"/>
      </w:rPr>
      <w:t xml:space="preserve">  </w:t>
    </w:r>
    <w:r>
      <w:fldChar w:fldCharType="begin"/>
    </w:r>
    <w:r>
      <w:instrText>PAGE</w:instrText>
    </w:r>
    <w:r>
      <w:fldChar w:fldCharType="separate"/>
    </w:r>
    <w:r w:rsidR="00F051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F3F4A" w14:textId="77777777" w:rsidR="001D6468" w:rsidRDefault="001D6468">
      <w:pPr>
        <w:spacing w:after="0" w:line="240" w:lineRule="auto"/>
      </w:pPr>
      <w:r>
        <w:separator/>
      </w:r>
    </w:p>
  </w:footnote>
  <w:footnote w:type="continuationSeparator" w:id="0">
    <w:p w14:paraId="2D79B9A4" w14:textId="77777777" w:rsidR="001D6468" w:rsidRDefault="001D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053048">
    <w:abstractNumId w:val="8"/>
  </w:num>
  <w:num w:numId="2" w16cid:durableId="657195637">
    <w:abstractNumId w:val="6"/>
  </w:num>
  <w:num w:numId="3" w16cid:durableId="1154562934">
    <w:abstractNumId w:val="5"/>
  </w:num>
  <w:num w:numId="4" w16cid:durableId="1378777848">
    <w:abstractNumId w:val="4"/>
  </w:num>
  <w:num w:numId="5" w16cid:durableId="1746023633">
    <w:abstractNumId w:val="7"/>
  </w:num>
  <w:num w:numId="6" w16cid:durableId="264505168">
    <w:abstractNumId w:val="3"/>
  </w:num>
  <w:num w:numId="7" w16cid:durableId="916675689">
    <w:abstractNumId w:val="2"/>
  </w:num>
  <w:num w:numId="8" w16cid:durableId="946808467">
    <w:abstractNumId w:val="1"/>
  </w:num>
  <w:num w:numId="9" w16cid:durableId="118424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468"/>
    <w:rsid w:val="0029639D"/>
    <w:rsid w:val="00326F90"/>
    <w:rsid w:val="0093073E"/>
    <w:rsid w:val="00AA1D8D"/>
    <w:rsid w:val="00B476D4"/>
    <w:rsid w:val="00B47730"/>
    <w:rsid w:val="00CB0664"/>
    <w:rsid w:val="00F05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03EE1"/>
  <w14:defaultImageDpi w14:val="300"/>
  <w15:docId w15:val="{456CC8DF-A4C1-41B6-849A-4444CBC6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E3742"/>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 Abandonment Findings and Recommendations</dc:title>
  <dc:subject>DA-04 capstone findings, business impact, and recommendations</dc:subject>
  <dc:creator>Aswin V</dc:creator>
  <cp:keywords/>
  <dc:description>generated by python-docx</dc:description>
  <cp:lastModifiedBy>Aswin V</cp:lastModifiedBy>
  <cp:revision>2</cp:revision>
  <dcterms:created xsi:type="dcterms:W3CDTF">2026-10-23T09:51:00Z</dcterms:created>
  <dcterms:modified xsi:type="dcterms:W3CDTF">2026-10-23T09:51:00Z</dcterms:modified>
  <cp:category/>
</cp:coreProperties>
</file>