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Cart Abandonment and Conversion Funnel Analysis</w:t>
      </w:r>
    </w:p>
    <w:p>
      <w:pPr>
        <w:spacing w:after="60"/>
        <w:jc w:val="center"/>
      </w:pPr>
      <w:r>
        <w:rPr>
          <w:b/>
          <w:color w:val="41576E"/>
          <w:sz w:val="15"/>
        </w:rPr>
        <w:t>BUSINESS PROBLEM STATEMENT  |  DA-04  |  ASWIN V</w:t>
      </w:r>
    </w:p>
    <w:p>
      <w:pPr>
        <w:pStyle w:val="Heading1"/>
      </w:pPr>
      <w:r>
        <w:t>Business problem and question</w:t>
      </w:r>
    </w:p>
    <w:p>
      <w:r>
        <w:t>An online cosmetics store records customer interactions with products, including product views, cart additions, cart removals and purchases. The business question is where shoppers drop out of this journey before paying, and how conversion varies across products, categories, brands, price levels and time. This project will analyze event data from the cosmetics shop to describe how shoppers progress through the funnel and identify stages or product segments with comparatively high drop-off. Findings can help prioritize areas for further investigation and testing. The dataset records customer actions but does not directly explain why a shopper abandoned a cart; the analysis will identify patterns and opportunities, not prove causes.</w:t>
      </w:r>
    </w:p>
    <w:p>
      <w:pPr>
        <w:pStyle w:val="Heading1"/>
      </w:pPr>
      <w:r>
        <w:t>Objectives and proposed KPIs</w:t>
      </w:r>
    </w:p>
    <w:p>
      <w:r>
        <w:rPr>
          <w:rFonts w:ascii="Aptos" w:hAnsi="Aptos"/>
          <w:color w:val="232D37"/>
          <w:sz w:val="16"/>
        </w:rPr>
        <w:t>Count distinct sessions with product views, cart activity and purchases; measure view-to-cart conversion, cart-to-purchase conversion and session-based cart abandonment; compare results across available product, category, brand, price and time segments. Proposed definitions: View-to-cart rate = sessions with a cart event ÷ sessions with a view event; Cart-to-purchase rate = cart sessions that also contain a purchase event ÷ sessions with a cart event; Cart abandonment rate = cart sessions without a purchase event ÷ sessions with a cart event. Validate these definitions against the data before final reporting. Multiple purchase events may belong to one order, so event counts will not automatically be treated as order counts.</w:t>
      </w:r>
    </w:p>
    <w:p>
      <w:pPr>
        <w:pStyle w:val="Heading1"/>
      </w:pPr>
      <w:r>
        <w:t>Dataset and scope</w:t>
      </w:r>
    </w:p>
    <w:p>
      <w:r>
        <w:rPr>
          <w:rFonts w:ascii="Aptos" w:hAnsi="Aptos"/>
          <w:color w:val="232D37"/>
          <w:sz w:val="16"/>
        </w:rPr>
        <w:t>Source: eCommerce Events History in Cosmetics Shop, published on Kaggle by mkechinov, with data credited to REES46 Marketing Platform. The downloaded project dataset contains five monthly CSV files from October 2019 through February 2020, totaling 20,692,840 event rows; these figures were checked against the files in the project dataset folder. The analysis will use user_session to group session activity and event_time to order events and analyze trends. Missing values, duplicates, event definitions and price values will be checked during preparation. Session, product or category tables used for SQL will be derived from the event records and identified as derived tables.</w:t>
      </w:r>
    </w:p>
    <w:p>
      <w:pPr>
        <w:pStyle w:val="Heading1"/>
      </w:pPr>
      <w:r>
        <w:t>Column-by-column data dictionary</w:t>
      </w:r>
    </w:p>
    <w:tbl>
      <w:tblPr>
        <w:tblW w:type="auto" w:w="0"/>
        <w:jc w:val="center"/>
        <w:tblLayout w:type="fixed"/>
        <w:tblLook w:firstColumn="1" w:firstRow="1" w:lastColumn="0" w:lastRow="0" w:noHBand="0" w:noVBand="1" w:val="04A0"/>
      </w:tblPr>
      <w:tblGrid>
        <w:gridCol w:w="1656"/>
        <w:gridCol w:w="8712"/>
      </w:tblGrid>
      <w:tr>
        <w:trPr>
          <w:cantSplit/>
        </w:trPr>
        <w:tc>
          <w:tcPr>
            <w:tcW w:type="dxa" w:w="1656"/>
            <w:vAlign w:val="center"/>
            <w:tcMar>
              <w:top w:w="25" w:type="dxa"/>
              <w:start w:w="55" w:type="dxa"/>
              <w:bottom w:w="25" w:type="dxa"/>
              <w:end w:w="55" w:type="dxa"/>
            </w:tcMar>
            <w:tcBorders>
              <w:top w:val="single" w:sz="4" w:color="D9E0E7"/>
              <w:left w:val="single" w:sz="4" w:color="D9E0E7"/>
              <w:bottom w:val="single" w:sz="4" w:color="D9E0E7"/>
              <w:right w:val="single" w:sz="4" w:color="D9E0E7"/>
              <w:insideH w:val="single" w:sz="4" w:color="D9E0E7"/>
              <w:insideV w:val="single" w:sz="4" w:color="D9E0E7"/>
            </w:tcBorders>
            <w:shd w:fill="DCE6F1"/>
          </w:tcPr>
          <w:p>
            <w:pPr>
              <w:spacing w:before="0" w:after="0" w:line="240" w:lineRule="auto"/>
            </w:pPr>
            <w:r>
              <w:rPr>
                <w:rFonts w:ascii="Aptos" w:hAnsi="Aptos"/>
                <w:b/>
                <w:color w:val="000000"/>
                <w:sz w:val="13"/>
              </w:rPr>
              <w:t>Column</w:t>
            </w:r>
          </w:p>
        </w:tc>
        <w:tc>
          <w:tcPr>
            <w:tcW w:type="dxa" w:w="8712"/>
            <w:vAlign w:val="center"/>
            <w:tcMar>
              <w:top w:w="25" w:type="dxa"/>
              <w:start w:w="55" w:type="dxa"/>
              <w:bottom w:w="25" w:type="dxa"/>
              <w:end w:w="55" w:type="dxa"/>
            </w:tcMar>
            <w:tcBorders>
              <w:top w:val="single" w:sz="4" w:color="D9E0E7"/>
              <w:left w:val="single" w:sz="4" w:color="D9E0E7"/>
              <w:bottom w:val="single" w:sz="4" w:color="D9E0E7"/>
              <w:right w:val="single" w:sz="4" w:color="D9E0E7"/>
              <w:insideH w:val="single" w:sz="4" w:color="D9E0E7"/>
              <w:insideV w:val="single" w:sz="4" w:color="D9E0E7"/>
            </w:tcBorders>
            <w:shd w:fill="DCE6F1"/>
          </w:tcPr>
          <w:p>
            <w:pPr>
              <w:spacing w:before="0" w:after="0" w:line="240" w:lineRule="auto"/>
            </w:pPr>
            <w:r>
              <w:rPr>
                <w:rFonts w:ascii="Aptos" w:hAnsi="Aptos"/>
                <w:b/>
                <w:color w:val="000000"/>
                <w:sz w:val="13"/>
              </w:rPr>
              <w:t>Meaning and intended use</w:t>
            </w:r>
          </w:p>
        </w:tc>
      </w:tr>
      <w:tr>
        <w:trPr>
          <w:cantSplit/>
        </w:trPr>
        <w:tc>
          <w:tcPr>
            <w:tcW w:type="dxa" w:w="1656"/>
            <w:vAlign w:val="center"/>
            <w:tcMar>
              <w:top w:w="25" w:type="dxa"/>
              <w:start w:w="55" w:type="dxa"/>
              <w:bottom w:w="25" w:type="dxa"/>
              <w:end w:w="55" w:type="dxa"/>
            </w:tcMar>
            <w:tcBorders>
              <w:top w:val="single" w:sz="4" w:color="D9E0E7"/>
              <w:left w:val="single" w:sz="4" w:color="D9E0E7"/>
              <w:bottom w:val="single" w:sz="4" w:color="D9E0E7"/>
              <w:right w:val="single" w:sz="4" w:color="D9E0E7"/>
              <w:insideH w:val="single" w:sz="4" w:color="D9E0E7"/>
              <w:insideV w:val="single" w:sz="4" w:color="D9E0E7"/>
            </w:tcBorders>
          </w:tcPr>
          <w:p>
            <w:pPr>
              <w:spacing w:before="0" w:after="0" w:line="240" w:lineRule="auto"/>
            </w:pPr>
            <w:r>
              <w:rPr>
                <w:rFonts w:ascii="Aptos" w:hAnsi="Aptos"/>
                <w:sz w:val="13"/>
              </w:rPr>
              <w:t>event_time</w:t>
            </w:r>
          </w:p>
        </w:tc>
        <w:tc>
          <w:tcPr>
            <w:tcW w:type="dxa" w:w="8712"/>
            <w:vAlign w:val="center"/>
            <w:tcMar>
              <w:top w:w="25" w:type="dxa"/>
              <w:start w:w="55" w:type="dxa"/>
              <w:bottom w:w="25" w:type="dxa"/>
              <w:end w:w="55" w:type="dxa"/>
            </w:tcMar>
            <w:tcBorders>
              <w:top w:val="single" w:sz="4" w:color="D9E0E7"/>
              <w:left w:val="single" w:sz="4" w:color="D9E0E7"/>
              <w:bottom w:val="single" w:sz="4" w:color="D9E0E7"/>
              <w:right w:val="single" w:sz="4" w:color="D9E0E7"/>
              <w:insideH w:val="single" w:sz="4" w:color="D9E0E7"/>
              <w:insideV w:val="single" w:sz="4" w:color="D9E0E7"/>
            </w:tcBorders>
          </w:tcPr>
          <w:p>
            <w:pPr>
              <w:spacing w:before="0" w:after="0" w:line="240" w:lineRule="auto"/>
            </w:pPr>
            <w:r>
              <w:rPr>
                <w:rFonts w:ascii="Aptos" w:hAnsi="Aptos"/>
                <w:sz w:val="13"/>
              </w:rPr>
              <w:t>Event timestamp in UTC; order events and analyze trends.</w:t>
            </w:r>
          </w:p>
        </w:tc>
      </w:tr>
      <w:tr>
        <w:trPr>
          <w:cantSplit/>
        </w:trPr>
        <w:tc>
          <w:tcPr>
            <w:tcW w:type="dxa" w:w="1656"/>
            <w:vAlign w:val="center"/>
            <w:tcMar>
              <w:top w:w="25" w:type="dxa"/>
              <w:start w:w="55" w:type="dxa"/>
              <w:bottom w:w="25" w:type="dxa"/>
              <w:end w:w="55" w:type="dxa"/>
            </w:tcMar>
            <w:tcBorders>
              <w:top w:val="single" w:sz="4" w:color="D9E0E7"/>
              <w:left w:val="single" w:sz="4" w:color="D9E0E7"/>
              <w:bottom w:val="single" w:sz="4" w:color="D9E0E7"/>
              <w:right w:val="single" w:sz="4" w:color="D9E0E7"/>
              <w:insideH w:val="single" w:sz="4" w:color="D9E0E7"/>
              <w:insideV w:val="single" w:sz="4" w:color="D9E0E7"/>
            </w:tcBorders>
          </w:tcPr>
          <w:p>
            <w:pPr>
              <w:spacing w:before="0" w:after="0" w:line="240" w:lineRule="auto"/>
            </w:pPr>
            <w:r>
              <w:rPr>
                <w:rFonts w:ascii="Aptos" w:hAnsi="Aptos"/>
                <w:sz w:val="13"/>
              </w:rPr>
              <w:t>event_type</w:t>
            </w:r>
          </w:p>
        </w:tc>
        <w:tc>
          <w:tcPr>
            <w:tcW w:type="dxa" w:w="8712"/>
            <w:vAlign w:val="center"/>
            <w:tcMar>
              <w:top w:w="25" w:type="dxa"/>
              <w:start w:w="55" w:type="dxa"/>
              <w:bottom w:w="25" w:type="dxa"/>
              <w:end w:w="55" w:type="dxa"/>
            </w:tcMar>
            <w:tcBorders>
              <w:top w:val="single" w:sz="4" w:color="D9E0E7"/>
              <w:left w:val="single" w:sz="4" w:color="D9E0E7"/>
              <w:bottom w:val="single" w:sz="4" w:color="D9E0E7"/>
              <w:right w:val="single" w:sz="4" w:color="D9E0E7"/>
              <w:insideH w:val="single" w:sz="4" w:color="D9E0E7"/>
              <w:insideV w:val="single" w:sz="4" w:color="D9E0E7"/>
            </w:tcBorders>
          </w:tcPr>
          <w:p>
            <w:pPr>
              <w:spacing w:before="0" w:after="0" w:line="240" w:lineRule="auto"/>
            </w:pPr>
            <w:r>
              <w:rPr>
                <w:rFonts w:ascii="Aptos" w:hAnsi="Aptos"/>
                <w:sz w:val="13"/>
              </w:rPr>
              <w:t>Action: view, cart, remove_from_cart or purchase; identifies funnel activity.</w:t>
            </w:r>
          </w:p>
        </w:tc>
      </w:tr>
      <w:tr>
        <w:trPr>
          <w:cantSplit/>
        </w:trPr>
        <w:tc>
          <w:tcPr>
            <w:tcW w:type="dxa" w:w="1656"/>
            <w:vAlign w:val="center"/>
            <w:tcMar>
              <w:top w:w="25" w:type="dxa"/>
              <w:start w:w="55" w:type="dxa"/>
              <w:bottom w:w="25" w:type="dxa"/>
              <w:end w:w="55" w:type="dxa"/>
            </w:tcMar>
            <w:tcBorders>
              <w:top w:val="single" w:sz="4" w:color="D9E0E7"/>
              <w:left w:val="single" w:sz="4" w:color="D9E0E7"/>
              <w:bottom w:val="single" w:sz="4" w:color="D9E0E7"/>
              <w:right w:val="single" w:sz="4" w:color="D9E0E7"/>
              <w:insideH w:val="single" w:sz="4" w:color="D9E0E7"/>
              <w:insideV w:val="single" w:sz="4" w:color="D9E0E7"/>
            </w:tcBorders>
          </w:tcPr>
          <w:p>
            <w:pPr>
              <w:spacing w:before="0" w:after="0" w:line="240" w:lineRule="auto"/>
            </w:pPr>
            <w:r>
              <w:rPr>
                <w:rFonts w:ascii="Aptos" w:hAnsi="Aptos"/>
                <w:sz w:val="13"/>
              </w:rPr>
              <w:t>product_id</w:t>
            </w:r>
          </w:p>
        </w:tc>
        <w:tc>
          <w:tcPr>
            <w:tcW w:type="dxa" w:w="8712"/>
            <w:vAlign w:val="center"/>
            <w:tcMar>
              <w:top w:w="25" w:type="dxa"/>
              <w:start w:w="55" w:type="dxa"/>
              <w:bottom w:w="25" w:type="dxa"/>
              <w:end w:w="55" w:type="dxa"/>
            </w:tcMar>
            <w:tcBorders>
              <w:top w:val="single" w:sz="4" w:color="D9E0E7"/>
              <w:left w:val="single" w:sz="4" w:color="D9E0E7"/>
              <w:bottom w:val="single" w:sz="4" w:color="D9E0E7"/>
              <w:right w:val="single" w:sz="4" w:color="D9E0E7"/>
              <w:insideH w:val="single" w:sz="4" w:color="D9E0E7"/>
              <w:insideV w:val="single" w:sz="4" w:color="D9E0E7"/>
            </w:tcBorders>
          </w:tcPr>
          <w:p>
            <w:pPr>
              <w:spacing w:before="0" w:after="0" w:line="240" w:lineRule="auto"/>
            </w:pPr>
            <w:r>
              <w:rPr>
                <w:rFonts w:ascii="Aptos" w:hAnsi="Aptos"/>
                <w:sz w:val="13"/>
              </w:rPr>
              <w:t>Product identifier; supports product-level comparisons.</w:t>
            </w:r>
          </w:p>
        </w:tc>
      </w:tr>
      <w:tr>
        <w:trPr>
          <w:cantSplit/>
        </w:trPr>
        <w:tc>
          <w:tcPr>
            <w:tcW w:type="dxa" w:w="1656"/>
            <w:vAlign w:val="center"/>
            <w:tcMar>
              <w:top w:w="25" w:type="dxa"/>
              <w:start w:w="55" w:type="dxa"/>
              <w:bottom w:w="25" w:type="dxa"/>
              <w:end w:w="55" w:type="dxa"/>
            </w:tcMar>
            <w:tcBorders>
              <w:top w:val="single" w:sz="4" w:color="D9E0E7"/>
              <w:left w:val="single" w:sz="4" w:color="D9E0E7"/>
              <w:bottom w:val="single" w:sz="4" w:color="D9E0E7"/>
              <w:right w:val="single" w:sz="4" w:color="D9E0E7"/>
              <w:insideH w:val="single" w:sz="4" w:color="D9E0E7"/>
              <w:insideV w:val="single" w:sz="4" w:color="D9E0E7"/>
            </w:tcBorders>
          </w:tcPr>
          <w:p>
            <w:pPr>
              <w:spacing w:before="0" w:after="0" w:line="240" w:lineRule="auto"/>
            </w:pPr>
            <w:r>
              <w:rPr>
                <w:rFonts w:ascii="Aptos" w:hAnsi="Aptos"/>
                <w:sz w:val="13"/>
              </w:rPr>
              <w:t>category_id</w:t>
            </w:r>
          </w:p>
        </w:tc>
        <w:tc>
          <w:tcPr>
            <w:tcW w:type="dxa" w:w="8712"/>
            <w:vAlign w:val="center"/>
            <w:tcMar>
              <w:top w:w="25" w:type="dxa"/>
              <w:start w:w="55" w:type="dxa"/>
              <w:bottom w:w="25" w:type="dxa"/>
              <w:end w:w="55" w:type="dxa"/>
            </w:tcMar>
            <w:tcBorders>
              <w:top w:val="single" w:sz="4" w:color="D9E0E7"/>
              <w:left w:val="single" w:sz="4" w:color="D9E0E7"/>
              <w:bottom w:val="single" w:sz="4" w:color="D9E0E7"/>
              <w:right w:val="single" w:sz="4" w:color="D9E0E7"/>
              <w:insideH w:val="single" w:sz="4" w:color="D9E0E7"/>
              <w:insideV w:val="single" w:sz="4" w:color="D9E0E7"/>
            </w:tcBorders>
          </w:tcPr>
          <w:p>
            <w:pPr>
              <w:spacing w:before="0" w:after="0" w:line="240" w:lineRule="auto"/>
            </w:pPr>
            <w:r>
              <w:rPr>
                <w:rFonts w:ascii="Aptos" w:hAnsi="Aptos"/>
                <w:sz w:val="13"/>
              </w:rPr>
              <w:t>Numeric category identifier; supports category grouping.</w:t>
            </w:r>
          </w:p>
        </w:tc>
      </w:tr>
      <w:tr>
        <w:trPr>
          <w:cantSplit/>
        </w:trPr>
        <w:tc>
          <w:tcPr>
            <w:tcW w:type="dxa" w:w="1656"/>
            <w:vAlign w:val="center"/>
            <w:tcMar>
              <w:top w:w="25" w:type="dxa"/>
              <w:start w:w="55" w:type="dxa"/>
              <w:bottom w:w="25" w:type="dxa"/>
              <w:end w:w="55" w:type="dxa"/>
            </w:tcMar>
            <w:tcBorders>
              <w:top w:val="single" w:sz="4" w:color="D9E0E7"/>
              <w:left w:val="single" w:sz="4" w:color="D9E0E7"/>
              <w:bottom w:val="single" w:sz="4" w:color="D9E0E7"/>
              <w:right w:val="single" w:sz="4" w:color="D9E0E7"/>
              <w:insideH w:val="single" w:sz="4" w:color="D9E0E7"/>
              <w:insideV w:val="single" w:sz="4" w:color="D9E0E7"/>
            </w:tcBorders>
          </w:tcPr>
          <w:p>
            <w:pPr>
              <w:spacing w:before="0" w:after="0" w:line="240" w:lineRule="auto"/>
            </w:pPr>
            <w:r>
              <w:rPr>
                <w:rFonts w:ascii="Aptos" w:hAnsi="Aptos"/>
                <w:sz w:val="13"/>
              </w:rPr>
              <w:t>category_code</w:t>
            </w:r>
          </w:p>
        </w:tc>
        <w:tc>
          <w:tcPr>
            <w:tcW w:type="dxa" w:w="8712"/>
            <w:vAlign w:val="center"/>
            <w:tcMar>
              <w:top w:w="25" w:type="dxa"/>
              <w:start w:w="55" w:type="dxa"/>
              <w:bottom w:w="25" w:type="dxa"/>
              <w:end w:w="55" w:type="dxa"/>
            </w:tcMar>
            <w:tcBorders>
              <w:top w:val="single" w:sz="4" w:color="D9E0E7"/>
              <w:left w:val="single" w:sz="4" w:color="D9E0E7"/>
              <w:bottom w:val="single" w:sz="4" w:color="D9E0E7"/>
              <w:right w:val="single" w:sz="4" w:color="D9E0E7"/>
              <w:insideH w:val="single" w:sz="4" w:color="D9E0E7"/>
              <w:insideV w:val="single" w:sz="4" w:color="D9E0E7"/>
            </w:tcBorders>
          </w:tcPr>
          <w:p>
            <w:pPr>
              <w:spacing w:before="0" w:after="0" w:line="240" w:lineRule="auto"/>
            </w:pPr>
            <w:r>
              <w:rPr>
                <w:rFonts w:ascii="Aptos" w:hAnsi="Aptos"/>
                <w:sz w:val="13"/>
              </w:rPr>
              <w:t>Readable category code when available; may be missing.</w:t>
            </w:r>
          </w:p>
        </w:tc>
      </w:tr>
      <w:tr>
        <w:trPr>
          <w:cantSplit/>
        </w:trPr>
        <w:tc>
          <w:tcPr>
            <w:tcW w:type="dxa" w:w="1656"/>
            <w:vAlign w:val="center"/>
            <w:tcMar>
              <w:top w:w="25" w:type="dxa"/>
              <w:start w:w="55" w:type="dxa"/>
              <w:bottom w:w="25" w:type="dxa"/>
              <w:end w:w="55" w:type="dxa"/>
            </w:tcMar>
            <w:tcBorders>
              <w:top w:val="single" w:sz="4" w:color="D9E0E7"/>
              <w:left w:val="single" w:sz="4" w:color="D9E0E7"/>
              <w:bottom w:val="single" w:sz="4" w:color="D9E0E7"/>
              <w:right w:val="single" w:sz="4" w:color="D9E0E7"/>
              <w:insideH w:val="single" w:sz="4" w:color="D9E0E7"/>
              <w:insideV w:val="single" w:sz="4" w:color="D9E0E7"/>
            </w:tcBorders>
          </w:tcPr>
          <w:p>
            <w:pPr>
              <w:spacing w:before="0" w:after="0" w:line="240" w:lineRule="auto"/>
            </w:pPr>
            <w:r>
              <w:rPr>
                <w:rFonts w:ascii="Aptos" w:hAnsi="Aptos"/>
                <w:sz w:val="13"/>
              </w:rPr>
              <w:t>brand</w:t>
            </w:r>
          </w:p>
        </w:tc>
        <w:tc>
          <w:tcPr>
            <w:tcW w:type="dxa" w:w="8712"/>
            <w:vAlign w:val="center"/>
            <w:tcMar>
              <w:top w:w="25" w:type="dxa"/>
              <w:start w:w="55" w:type="dxa"/>
              <w:bottom w:w="25" w:type="dxa"/>
              <w:end w:w="55" w:type="dxa"/>
            </w:tcMar>
            <w:tcBorders>
              <w:top w:val="single" w:sz="4" w:color="D9E0E7"/>
              <w:left w:val="single" w:sz="4" w:color="D9E0E7"/>
              <w:bottom w:val="single" w:sz="4" w:color="D9E0E7"/>
              <w:right w:val="single" w:sz="4" w:color="D9E0E7"/>
              <w:insideH w:val="single" w:sz="4" w:color="D9E0E7"/>
              <w:insideV w:val="single" w:sz="4" w:color="D9E0E7"/>
            </w:tcBorders>
          </w:tcPr>
          <w:p>
            <w:pPr>
              <w:spacing w:before="0" w:after="0" w:line="240" w:lineRule="auto"/>
            </w:pPr>
            <w:r>
              <w:rPr>
                <w:rFonts w:ascii="Aptos" w:hAnsi="Aptos"/>
                <w:sz w:val="13"/>
              </w:rPr>
              <w:t>Product brand when available; may be missing.</w:t>
            </w:r>
          </w:p>
        </w:tc>
      </w:tr>
      <w:tr>
        <w:trPr>
          <w:cantSplit/>
        </w:trPr>
        <w:tc>
          <w:tcPr>
            <w:tcW w:type="dxa" w:w="1656"/>
            <w:vAlign w:val="center"/>
            <w:tcMar>
              <w:top w:w="25" w:type="dxa"/>
              <w:start w:w="55" w:type="dxa"/>
              <w:bottom w:w="25" w:type="dxa"/>
              <w:end w:w="55" w:type="dxa"/>
            </w:tcMar>
            <w:tcBorders>
              <w:top w:val="single" w:sz="4" w:color="D9E0E7"/>
              <w:left w:val="single" w:sz="4" w:color="D9E0E7"/>
              <w:bottom w:val="single" w:sz="4" w:color="D9E0E7"/>
              <w:right w:val="single" w:sz="4" w:color="D9E0E7"/>
              <w:insideH w:val="single" w:sz="4" w:color="D9E0E7"/>
              <w:insideV w:val="single" w:sz="4" w:color="D9E0E7"/>
            </w:tcBorders>
          </w:tcPr>
          <w:p>
            <w:pPr>
              <w:spacing w:before="0" w:after="0" w:line="240" w:lineRule="auto"/>
            </w:pPr>
            <w:r>
              <w:rPr>
                <w:rFonts w:ascii="Aptos" w:hAnsi="Aptos"/>
                <w:sz w:val="13"/>
              </w:rPr>
              <w:t>price</w:t>
            </w:r>
          </w:p>
        </w:tc>
        <w:tc>
          <w:tcPr>
            <w:tcW w:type="dxa" w:w="8712"/>
            <w:vAlign w:val="center"/>
            <w:tcMar>
              <w:top w:w="25" w:type="dxa"/>
              <w:start w:w="55" w:type="dxa"/>
              <w:bottom w:w="25" w:type="dxa"/>
              <w:end w:w="55" w:type="dxa"/>
            </w:tcMar>
            <w:tcBorders>
              <w:top w:val="single" w:sz="4" w:color="D9E0E7"/>
              <w:left w:val="single" w:sz="4" w:color="D9E0E7"/>
              <w:bottom w:val="single" w:sz="4" w:color="D9E0E7"/>
              <w:right w:val="single" w:sz="4" w:color="D9E0E7"/>
              <w:insideH w:val="single" w:sz="4" w:color="D9E0E7"/>
              <w:insideV w:val="single" w:sz="4" w:color="D9E0E7"/>
            </w:tcBorders>
          </w:tcPr>
          <w:p>
            <w:pPr>
              <w:spacing w:before="0" w:after="0" w:line="240" w:lineRule="auto"/>
            </w:pPr>
            <w:r>
              <w:rPr>
                <w:rFonts w:ascii="Aptos" w:hAnsi="Aptos"/>
                <w:sz w:val="13"/>
              </w:rPr>
              <w:t>Price recorded for the event; validate before purchase-value analysis.</w:t>
            </w:r>
          </w:p>
        </w:tc>
      </w:tr>
      <w:tr>
        <w:trPr>
          <w:cantSplit/>
        </w:trPr>
        <w:tc>
          <w:tcPr>
            <w:tcW w:type="dxa" w:w="1656"/>
            <w:vAlign w:val="center"/>
            <w:tcMar>
              <w:top w:w="25" w:type="dxa"/>
              <w:start w:w="55" w:type="dxa"/>
              <w:bottom w:w="25" w:type="dxa"/>
              <w:end w:w="55" w:type="dxa"/>
            </w:tcMar>
            <w:tcBorders>
              <w:top w:val="single" w:sz="4" w:color="D9E0E7"/>
              <w:left w:val="single" w:sz="4" w:color="D9E0E7"/>
              <w:bottom w:val="single" w:sz="4" w:color="D9E0E7"/>
              <w:right w:val="single" w:sz="4" w:color="D9E0E7"/>
              <w:insideH w:val="single" w:sz="4" w:color="D9E0E7"/>
              <w:insideV w:val="single" w:sz="4" w:color="D9E0E7"/>
            </w:tcBorders>
          </w:tcPr>
          <w:p>
            <w:pPr>
              <w:spacing w:before="0" w:after="0" w:line="240" w:lineRule="auto"/>
            </w:pPr>
            <w:r>
              <w:rPr>
                <w:rFonts w:ascii="Aptos" w:hAnsi="Aptos"/>
                <w:sz w:val="13"/>
              </w:rPr>
              <w:t>user_id</w:t>
            </w:r>
          </w:p>
        </w:tc>
        <w:tc>
          <w:tcPr>
            <w:tcW w:type="dxa" w:w="8712"/>
            <w:vAlign w:val="center"/>
            <w:tcMar>
              <w:top w:w="25" w:type="dxa"/>
              <w:start w:w="55" w:type="dxa"/>
              <w:bottom w:w="25" w:type="dxa"/>
              <w:end w:w="55" w:type="dxa"/>
            </w:tcMar>
            <w:tcBorders>
              <w:top w:val="single" w:sz="4" w:color="D9E0E7"/>
              <w:left w:val="single" w:sz="4" w:color="D9E0E7"/>
              <w:bottom w:val="single" w:sz="4" w:color="D9E0E7"/>
              <w:right w:val="single" w:sz="4" w:color="D9E0E7"/>
              <w:insideH w:val="single" w:sz="4" w:color="D9E0E7"/>
              <w:insideV w:val="single" w:sz="4" w:color="D9E0E7"/>
            </w:tcBorders>
          </w:tcPr>
          <w:p>
            <w:pPr>
              <w:spacing w:before="0" w:after="0" w:line="240" w:lineRule="auto"/>
            </w:pPr>
            <w:r>
              <w:rPr>
                <w:rFonts w:ascii="Aptos" w:hAnsi="Aptos"/>
                <w:sz w:val="13"/>
              </w:rPr>
              <w:t>Persistent user identifier; supports user-level counts or segmentation.</w:t>
            </w:r>
          </w:p>
        </w:tc>
      </w:tr>
      <w:tr>
        <w:trPr>
          <w:cantSplit/>
        </w:trPr>
        <w:tc>
          <w:tcPr>
            <w:tcW w:type="dxa" w:w="1656"/>
            <w:vAlign w:val="center"/>
            <w:tcMar>
              <w:top w:w="25" w:type="dxa"/>
              <w:start w:w="55" w:type="dxa"/>
              <w:bottom w:w="25" w:type="dxa"/>
              <w:end w:w="55" w:type="dxa"/>
            </w:tcMar>
            <w:tcBorders>
              <w:top w:val="single" w:sz="4" w:color="D9E0E7"/>
              <w:left w:val="single" w:sz="4" w:color="D9E0E7"/>
              <w:bottom w:val="single" w:sz="4" w:color="D9E0E7"/>
              <w:right w:val="single" w:sz="4" w:color="D9E0E7"/>
              <w:insideH w:val="single" w:sz="4" w:color="D9E0E7"/>
              <w:insideV w:val="single" w:sz="4" w:color="D9E0E7"/>
            </w:tcBorders>
          </w:tcPr>
          <w:p>
            <w:pPr>
              <w:spacing w:before="0" w:after="0" w:line="240" w:lineRule="auto"/>
            </w:pPr>
            <w:r>
              <w:rPr>
                <w:rFonts w:ascii="Aptos" w:hAnsi="Aptos"/>
                <w:sz w:val="13"/>
              </w:rPr>
              <w:t>user_session</w:t>
            </w:r>
          </w:p>
        </w:tc>
        <w:tc>
          <w:tcPr>
            <w:tcW w:type="dxa" w:w="8712"/>
            <w:vAlign w:val="center"/>
            <w:tcMar>
              <w:top w:w="25" w:type="dxa"/>
              <w:start w:w="55" w:type="dxa"/>
              <w:bottom w:w="25" w:type="dxa"/>
              <w:end w:w="55" w:type="dxa"/>
            </w:tcMar>
            <w:tcBorders>
              <w:top w:val="single" w:sz="4" w:color="D9E0E7"/>
              <w:left w:val="single" w:sz="4" w:color="D9E0E7"/>
              <w:bottom w:val="single" w:sz="4" w:color="D9E0E7"/>
              <w:right w:val="single" w:sz="4" w:color="D9E0E7"/>
              <w:insideH w:val="single" w:sz="4" w:color="D9E0E7"/>
              <w:insideV w:val="single" w:sz="4" w:color="D9E0E7"/>
            </w:tcBorders>
          </w:tcPr>
          <w:p>
            <w:pPr>
              <w:spacing w:before="0" w:after="0" w:line="240" w:lineRule="auto"/>
            </w:pPr>
            <w:r>
              <w:rPr>
                <w:rFonts w:ascii="Aptos" w:hAnsi="Aptos"/>
                <w:sz w:val="13"/>
              </w:rPr>
              <w:t>Temporary session identifier; primary field for session funnel analysis.</w:t>
            </w:r>
          </w:p>
        </w:tc>
      </w:tr>
    </w:tbl>
    <w:p>
      <w:pPr>
        <w:pStyle w:val="Heading1"/>
      </w:pPr>
      <w:r>
        <w:t>Source and attribution</w:t>
      </w:r>
    </w:p>
    <w:p>
      <w:r>
        <w:t>Kaggle: https://www.kaggle.com/datasets/mkechinov/ecommerce-events-history-in-cosmetics-shop. Dataset page credits REES46 Marketing Platform and states that use is free with attribution to the dataset page and REES46 Marketing Platform. Confirm and follow the licence and attribution terms displayed on Kaggle when submitting.</w:t>
      </w:r>
    </w:p>
    <w:sectPr w:rsidR="00FC693F" w:rsidRPr="0006063C" w:rsidSect="00034616">
      <w:pgSz w:w="12240" w:h="15840"/>
      <w:pgMar w:top="691" w:right="893" w:bottom="691"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ptos" w:hAnsi="Aptos"/>
      <w:color w:val="232D37"/>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30"/>
      <w:outlineLvl w:val="0"/>
    </w:pPr>
    <w:rPr>
      <w:rFonts w:asciiTheme="majorHAnsi" w:eastAsiaTheme="majorEastAsia" w:hAnsiTheme="majorHAnsi" w:cstheme="majorBidi" w:ascii="Aptos" w:hAnsi="Aptos"/>
      <w:b/>
      <w:bCs/>
      <w:color w:val="000000"/>
      <w:sz w:val="19"/>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 w:line="240" w:lineRule="auto" w:before="0"/>
      <w:contextualSpacing/>
    </w:pPr>
    <w:rPr>
      <w:rFonts w:asciiTheme="majorHAnsi" w:eastAsiaTheme="majorEastAsia" w:hAnsiTheme="majorHAnsi" w:cstheme="majorBidi" w:ascii="Aptos Display" w:hAnsi="Aptos Display"/>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DA-04 Cart Abandonment and Conversion Funnel Analysis - Business Problem Statement</dc:title>
  <dc:subject>Capstone business problem, KPIs, data dictionary, source and attribution</dc:subject>
  <dc:creator>Aswin V</dc:creator>
  <cp:keywords/>
  <dc:description>generated by python-docx</dc:description>
  <cp:lastModifiedBy/>
  <cp:revision>1</cp:revision>
  <dcterms:created xsi:type="dcterms:W3CDTF">2013-12-23T23:15:00Z</dcterms:created>
  <dcterms:modified xsi:type="dcterms:W3CDTF">2013-12-23T23:15:00Z</dcterms:modified>
  <cp:category/>
</cp:coreProperties>
</file>