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weekly-progress-report"/>
    <w:p>
      <w:pPr>
        <w:pStyle w:val="Heading1"/>
      </w:pPr>
      <w:r>
        <w:t xml:space="preserve">Weekly Progress Report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Evaluation-First Testing Harness for RAG and AI Agents</w:t>
      </w:r>
      <w:r>
        <w:t xml:space="preserve"> </w:t>
      </w:r>
      <w:r>
        <w:rPr>
          <w:b/>
          <w:bCs/>
        </w:rPr>
        <w:t xml:space="preserve">Student:</w:t>
      </w:r>
      <w:r>
        <w:t xml:space="preserve"> </w:t>
      </w:r>
      <w:r>
        <w:t xml:space="preserve">Aswitha Bukka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25, 2026</w:t>
      </w:r>
    </w:p>
    <w:p>
      <w:r>
        <w:pict>
          <v:rect style="width:0;height:1.5pt" o:hralign="center" o:hrstd="t" o:hr="t"/>
        </w:pict>
      </w:r>
    </w:p>
    <w:bookmarkStart w:id="9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AI-powered applications — such as RAG pipelines, tool-calling agents, and chatbots — fail silently. A model update can introduce hallucinations, a prompt change can degrade answer quality, and an agent can start invoking wrong APIs, all without producing any visible errors. This project builds an</w:t>
      </w:r>
      <w:r>
        <w:t xml:space="preserve"> </w:t>
      </w:r>
      <w:r>
        <w:rPr>
          <w:b/>
          <w:bCs/>
        </w:rPr>
        <w:t xml:space="preserve">evaluation harness</w:t>
      </w:r>
      <w:r>
        <w:t xml:space="preserve"> </w:t>
      </w:r>
      <w:r>
        <w:t xml:space="preserve">that automatically scores, gates, and monitors these AI systems before they reach production, treating LLM evaluation as a first-class CI/CD concern.</w:t>
      </w:r>
    </w:p>
    <w:bookmarkEnd w:id="9"/>
    <w:bookmarkStart w:id="12" w:name="work-completed-this-week"/>
    <w:p>
      <w:pPr>
        <w:pStyle w:val="Heading2"/>
      </w:pPr>
      <w:r>
        <w:t xml:space="preserve">Work Completed This Week</w:t>
      </w:r>
    </w:p>
    <w:bookmarkStart w:id="10" w:name="research-and-exploration"/>
    <w:p>
      <w:pPr>
        <w:pStyle w:val="Heading3"/>
      </w:pPr>
      <w:r>
        <w:t xml:space="preserve">Research and Exploration</w:t>
      </w:r>
    </w:p>
    <w:p>
      <w:pPr>
        <w:pStyle w:val="FirstParagraph"/>
      </w:pPr>
      <w:r>
        <w:t xml:space="preserve">I conducted research into modern AI agent architectures and agentic tooling to inform the design of the evaluation harness. A major area of focus was</w:t>
      </w:r>
      <w:r>
        <w:t xml:space="preserve"> </w:t>
      </w:r>
      <w:r>
        <w:rPr>
          <w:b/>
          <w:bCs/>
        </w:rPr>
        <w:t xml:space="preserve">OpenClaw</w:t>
      </w:r>
      <w:r>
        <w:t xml:space="preserve"> </w:t>
      </w:r>
      <w:r>
        <w:t xml:space="preserve">(openclaw.ai), an open-source, local-first autonomous AI agent. I set up OpenClaw locally and studied its architecture hands-on — how it orchestrates tool-calling decisions, manages persistent memory across sessions, routes conversations across multiple messaging platforms (Slack, WhatsApp, Telegram, Discord), and handles browser automation with configurable sandboxing. I also explored its plugin system, which supports 50+ integrations and allows the agent to dynamically build its own skills at runtime.</w:t>
      </w:r>
    </w:p>
    <w:p>
      <w:pPr>
        <w:pStyle w:val="BodyText"/>
      </w:pPr>
      <w:r>
        <w:t xml:space="preserve">This research directly shaped the evaluation harness design. OpenClaw’s multi-platform message routing informed the</w:t>
      </w:r>
      <w:r>
        <w:t xml:space="preserve"> </w:t>
      </w:r>
      <w:r>
        <w:rPr>
          <w:b/>
          <w:bCs/>
        </w:rPr>
        <w:t xml:space="preserve">multi-turn chatbot evaluator</w:t>
      </w:r>
      <w:r>
        <w:t xml:space="preserve"> </w:t>
      </w:r>
      <w:r>
        <w:t xml:space="preserve">(tracking coherence and knowledge retention across conversation turns). Its autonomous tool selection logic informed the</w:t>
      </w:r>
      <w:r>
        <w:t xml:space="preserve"> </w:t>
      </w:r>
      <w:r>
        <w:rPr>
          <w:b/>
          <w:bCs/>
        </w:rPr>
        <w:t xml:space="preserve">tool-calling agent evaluator</w:t>
      </w:r>
      <w:r>
        <w:t xml:space="preserve"> </w:t>
      </w:r>
      <w:r>
        <w:t xml:space="preserve">(measuring tool call precision, argument accuracy, and step efficiency). Its extensible plugin architecture inspired the</w:t>
      </w:r>
      <w:r>
        <w:t xml:space="preserve"> </w:t>
      </w:r>
      <w:r>
        <w:rPr>
          <w:b/>
          <w:bCs/>
        </w:rPr>
        <w:t xml:space="preserve">dynamic adapter pattern</w:t>
      </w:r>
      <w:r>
        <w:t xml:space="preserve"> </w:t>
      </w:r>
      <w:r>
        <w:t xml:space="preserve">used in the harness, where pipeline adapters are loaded at runtime via configuration rather than hard-coded.</w:t>
      </w:r>
    </w:p>
    <w:p>
      <w:pPr>
        <w:pStyle w:val="BodyText"/>
      </w:pPr>
      <w:r>
        <w:t xml:space="preserve">I also researched evaluation frameworks (Ragas, DeepEval), LLM-as-Judge patterns using GPT-4o, and production monitoring strategies for AI systems — synthesizing findings from multiple sources to build a comprehensive evaluation approach.</w:t>
      </w:r>
    </w:p>
    <w:bookmarkEnd w:id="10"/>
    <w:bookmarkStart w:id="11" w:name="development"/>
    <w:p>
      <w:pPr>
        <w:pStyle w:val="Heading3"/>
      </w:pPr>
      <w:r>
        <w:t xml:space="preserve">Development</w:t>
      </w:r>
    </w:p>
    <w:p>
      <w:pPr>
        <w:pStyle w:val="FirstParagraph"/>
      </w:pPr>
      <w:r>
        <w:t xml:space="preserve">Using insights from the research phase, I built and deployed the full evaluation platform: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</w:t>
      </w:r>
      <w:r>
        <w:t xml:space="preserve">: FastAPI server with 25+ REST endpoints, Celery distributed task queue, PostgreSQL with JSONB-based flexible metric storage, and Redis as the message broker — supporting 4 AI system types and 13 evaluators.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Seven new features implemented</w:t>
      </w:r>
      <w:r>
        <w:t xml:space="preserve">: Slack/Webhook Alerts (rich Block Kit notifications on quality gate failures), CSV/JSON Export (full evaluation result downloads), User Feedback Collection (thumbs up/down ratings with aggregated statistics), LLM-Powered Test Case Generation (GPT-4o generates system-type-specific test cases), Side-by-Side Run Comparison (compare 2-4 evaluation runs visually), Multi-Model A/B Testing (batch-trigger runs across different model configurations), and Dark Mode.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</w:t>
      </w:r>
      <w:r>
        <w:t xml:space="preserve">: Next.js 14 dashboard with 10 pages, real-time data polling, interactive metric visualizations, and a playground for live AI system testing.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Infrastructure</w:t>
      </w:r>
      <w:r>
        <w:t xml:space="preserve">: 6 Docker containers orchestrated via Docker Compose, with GitHub Actions CI/CD pipelines.</w:t>
      </w:r>
    </w:p>
    <w:p>
      <w:pPr>
        <w:pStyle w:val="FirstParagraph"/>
      </w:pPr>
      <w:r>
        <w:t xml:space="preserve">In total, 26 files were modified with over 1,300 lines of code added.</w:t>
      </w:r>
    </w:p>
    <w:bookmarkEnd w:id="11"/>
    <w:bookmarkEnd w:id="12"/>
    <w:bookmarkStart w:id="13" w:name="key-takeaway"/>
    <w:p>
      <w:pPr>
        <w:pStyle w:val="Heading2"/>
      </w:pPr>
      <w:r>
        <w:t xml:space="preserve">Key Takeaway</w:t>
      </w:r>
    </w:p>
    <w:p>
      <w:pPr>
        <w:pStyle w:val="FirstParagraph"/>
      </w:pPr>
      <w:r>
        <w:t xml:space="preserve">Working with OpenClaw gave me a practitioner’s understanding of how autonomous AI agents operate in real-world settings — managing state, making tool-calling decisions, integrating with external systems, and operating within safety boundaries. This hands-on experience directly informed the metrics, evaluators, and architectural decisions in the evaluation harness, ensuring it tests the exact failure modes that production AI systems actually exhibit.</w:t>
      </w:r>
    </w:p>
    <w:bookmarkEnd w:id="13"/>
    <w:bookmarkStart w:id="14" w:name="technologies-used"/>
    <w:p>
      <w:pPr>
        <w:pStyle w:val="Heading2"/>
      </w:pPr>
      <w:r>
        <w:t xml:space="preserve">Technologies Used</w:t>
      </w:r>
    </w:p>
    <w:p>
      <w:pPr>
        <w:pStyle w:val="FirstParagraph"/>
      </w:pPr>
      <w:r>
        <w:t xml:space="preserve">Python, FastAPI, PostgreSQL, Redis, Celery, Next.js, TypeScript, Tailwind CSS, OpenAI GPT-4o, Ragas, Docker, GitHub Actions, OpenClaw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2026-02-25T17:27:02Z</dcterms:created>
  <dcterms:modified xsi:type="dcterms:W3CDTF">2026-02-25T17:27:02Z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