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Iowan Old Style" w:hAnsi="Iowan Old Style"/>
          <w:b/>
          <w:i w:val="0"/>
          <w:color w:val="8B3A2E"/>
          <w:sz w:val="44"/>
        </w:rPr>
        <w:t>Research Context &amp; Literature Map</w:t>
      </w:r>
    </w:p>
    <w:p>
      <w:r>
        <w:rPr>
          <w:rFonts w:ascii="Georgia" w:hAnsi="Georgia"/>
          <w:b w:val="0"/>
          <w:i/>
          <w:color w:val="6B563B"/>
          <w:sz w:val="24"/>
        </w:rPr>
        <w:t>Hartford County Power Grid Resilience Simulation</w:t>
      </w:r>
      <w:r>
        <w:rPr>
          <w:rFonts w:ascii="Georgia" w:hAnsi="Georgia"/>
          <w:b w:val="0"/>
          <w:i/>
          <w:color w:val="6B563B"/>
          <w:sz w:val="20"/>
        </w:rPr>
        <w:t xml:space="preserve">    Companion to the development journal</w:t>
      </w:r>
    </w:p>
    <w:p>
      <w:r>
        <w:rPr>
          <w:rFonts w:ascii="Georgia" w:hAnsi="Georgia"/>
          <w:b w:val="0"/>
          <w:i w:val="0"/>
          <w:color w:val="3B2F24"/>
          <w:sz w:val="22"/>
        </w:rPr>
      </w:r>
    </w:p>
    <w:p>
      <w:r>
        <w:rPr>
          <w:rFonts w:ascii="Georgia" w:hAnsi="Georgia"/>
          <w:b/>
          <w:i w:val="0"/>
          <w:color w:val="8B3A2E"/>
          <w:sz w:val="30"/>
        </w:rPr>
        <w:t>What This Project Is, In One Paragraph</w:t>
      </w:r>
    </w:p>
    <w:p>
      <w:r>
        <w:rPr>
          <w:rFonts w:ascii="Georgia" w:hAnsi="Georgia"/>
          <w:b w:val="0"/>
          <w:i w:val="0"/>
          <w:color w:val="3B2F24"/>
          <w:sz w:val="22"/>
        </w:rPr>
        <w:t>A browser-first, county-specific interactive simulation of post-storm distribution-grid restoration. Models 100k+ outages and 5 000+ crews at Connecticut scale in under a second per scenario, with a server backend exposing Monte Carlo ensembles. The greedy rolling-horizon scheduler accounts for damage-assessment delay, log-normal repair durations, mutual-aid waves, workday clamps, and crew-routing heuristics. Designed as a foundation for calibration against real Eversource / PURA storm post-mortem data and for benchmarking against an MILP optimal scheduler.</w:t>
      </w:r>
    </w:p>
    <w:p>
      <w:r>
        <w:rPr>
          <w:rFonts w:ascii="Georgia" w:hAnsi="Georgia"/>
          <w:b w:val="0"/>
          <w:i w:val="0"/>
          <w:color w:val="3B2F24"/>
          <w:sz w:val="22"/>
        </w:rPr>
      </w:r>
    </w:p>
    <w:p>
      <w:r>
        <w:rPr>
          <w:rFonts w:ascii="Georgia" w:hAnsi="Georgia"/>
          <w:b/>
          <w:i w:val="0"/>
          <w:color w:val="8B3A2E"/>
          <w:sz w:val="30"/>
        </w:rPr>
        <w:t>The Niche You Are Exploring</w:t>
      </w:r>
    </w:p>
    <w:p>
      <w:r>
        <w:rPr>
          <w:rFonts w:ascii="Georgia" w:hAnsi="Georgia"/>
          <w:b w:val="0"/>
          <w:i/>
          <w:color w:val="705638"/>
          <w:sz w:val="20"/>
        </w:rPr>
        <w:t>Reading of the academic + industry landscape; revise as you find more sources.</w:t>
      </w:r>
    </w:p>
    <w:p>
      <w:r>
        <w:rPr>
          <w:rFonts w:ascii="Georgia" w:hAnsi="Georgia"/>
          <w:b/>
          <w:i w:val="0"/>
          <w:color w:val="8B3A2E"/>
          <w:sz w:val="24"/>
        </w:rPr>
        <w:t xml:space="preserve">▸ </w:t>
      </w:r>
      <w:r>
        <w:rPr>
          <w:rFonts w:ascii="Georgia" w:hAnsi="Georgia"/>
          <w:b/>
          <w:i w:val="0"/>
          <w:color w:val="3B2F24"/>
          <w:sz w:val="22"/>
        </w:rPr>
        <w:t>Most academic work on grid restoration is offline batch optimisation.</w:t>
      </w:r>
    </w:p>
    <w:p>
      <w:r>
        <w:rPr>
          <w:rFonts w:ascii="Georgia" w:hAnsi="Georgia"/>
          <w:b w:val="0"/>
          <w:i w:val="0"/>
          <w:color w:val="3B2F24"/>
          <w:sz w:val="22"/>
        </w:rPr>
        <w:t xml:space="preserve">    Coffrin, Van Hentenryck, and collaborators have produced strong MILP and convex-relaxation models for transmission restoration. Less work targets distribution-level, county-scale, and almost none of it is interactive.</w:t>
      </w:r>
    </w:p>
    <w:p>
      <w:r>
        <w:rPr>
          <w:rFonts w:ascii="Georgia" w:hAnsi="Georgia"/>
          <w:b/>
          <w:i w:val="0"/>
          <w:color w:val="8B3A2E"/>
          <w:sz w:val="24"/>
        </w:rPr>
        <w:t xml:space="preserve">▸ </w:t>
      </w:r>
      <w:r>
        <w:rPr>
          <w:rFonts w:ascii="Georgia" w:hAnsi="Georgia"/>
          <w:b/>
          <w:i w:val="0"/>
          <w:color w:val="3B2F24"/>
          <w:sz w:val="22"/>
        </w:rPr>
        <w:t>Most utility decision-support tools are proprietary and inaccessible.</w:t>
      </w:r>
    </w:p>
    <w:p>
      <w:r>
        <w:rPr>
          <w:rFonts w:ascii="Georgia" w:hAnsi="Georgia"/>
          <w:b w:val="0"/>
          <w:i w:val="0"/>
          <w:color w:val="3B2F24"/>
          <w:sz w:val="22"/>
        </w:rPr>
        <w:t xml:space="preserve">    Eversource, Avangrid, and others use commercial outage-management systems (OMS) like OSI Monarch or GE PowerOn. These run in control rooms and are not accessible for academic exploration.</w:t>
      </w:r>
    </w:p>
    <w:p>
      <w:r>
        <w:rPr>
          <w:rFonts w:ascii="Georgia" w:hAnsi="Georgia"/>
          <w:b/>
          <w:i w:val="0"/>
          <w:color w:val="8B3A2E"/>
          <w:sz w:val="24"/>
        </w:rPr>
        <w:t xml:space="preserve">▸ </w:t>
      </w:r>
      <w:r>
        <w:rPr>
          <w:rFonts w:ascii="Georgia" w:hAnsi="Georgia"/>
          <w:b/>
          <w:i w:val="0"/>
          <w:color w:val="3B2F24"/>
          <w:sz w:val="22"/>
        </w:rPr>
        <w:t>The synthetic-grid corpus targets transmission, not distribution.</w:t>
      </w:r>
    </w:p>
    <w:p>
      <w:r>
        <w:rPr>
          <w:rFonts w:ascii="Georgia" w:hAnsi="Georgia"/>
          <w:b w:val="0"/>
          <w:i w:val="0"/>
          <w:color w:val="3B2F24"/>
          <w:sz w:val="22"/>
        </w:rPr>
        <w:t xml:space="preserve">    ARPA-E's GRID DATA program and Texas A&amp;M's synthetic networks deliver transmission-scale test cases. County-resolution distribution grids with realistic storm-outage patterns are scarce.</w:t>
      </w:r>
    </w:p>
    <w:p>
      <w:r>
        <w:rPr>
          <w:rFonts w:ascii="Georgia" w:hAnsi="Georgia"/>
          <w:b/>
          <w:i w:val="0"/>
          <w:color w:val="8B3A2E"/>
          <w:sz w:val="24"/>
        </w:rPr>
        <w:t xml:space="preserve">▸ </w:t>
      </w:r>
      <w:r>
        <w:rPr>
          <w:rFonts w:ascii="Georgia" w:hAnsi="Georgia"/>
          <w:b/>
          <w:i w:val="0"/>
          <w:color w:val="3B2F24"/>
          <w:sz w:val="22"/>
        </w:rPr>
        <w:t>Browser-first, real-time interactive grid simulation at this fidelity is rare.</w:t>
      </w:r>
    </w:p>
    <w:p>
      <w:r>
        <w:rPr>
          <w:rFonts w:ascii="Georgia" w:hAnsi="Georgia"/>
          <w:b w:val="0"/>
          <w:i w:val="0"/>
          <w:color w:val="3B2F24"/>
          <w:sz w:val="22"/>
        </w:rPr>
        <w:t xml:space="preserve">    There are a few public demos but most are toy-scale (≤ 100 nodes). Running 100 000 outages + 5 000 crews + Monte Carlo in a browser-backed-by-API pipeline is a differentiator.</w:t>
      </w:r>
    </w:p>
    <w:p>
      <w:r>
        <w:rPr>
          <w:rFonts w:ascii="Georgia" w:hAnsi="Georgia"/>
          <w:b/>
          <w:i w:val="0"/>
          <w:color w:val="8B3A2E"/>
          <w:sz w:val="24"/>
        </w:rPr>
        <w:t xml:space="preserve">▸ </w:t>
      </w:r>
      <w:r>
        <w:rPr>
          <w:rFonts w:ascii="Georgia" w:hAnsi="Georgia"/>
          <w:b/>
          <w:i w:val="0"/>
          <w:color w:val="3B2F24"/>
          <w:sz w:val="22"/>
        </w:rPr>
        <w:t>Calibration against real PURA / Eversource storm filings is largely untouched in published academic work.</w:t>
      </w:r>
    </w:p>
    <w:p>
      <w:r>
        <w:rPr>
          <w:rFonts w:ascii="Georgia" w:hAnsi="Georgia"/>
          <w:b w:val="0"/>
          <w:i w:val="0"/>
          <w:color w:val="3B2F24"/>
          <w:sz w:val="22"/>
        </w:rPr>
        <w:t xml:space="preserve">    Statistical outage-prediction papers exist (Nateghi, Quiring, Guikema). Restoration-timeline calibration is much less common — partly because the data lives in regulatory filings rather than open datasets.</w:t>
      </w:r>
    </w:p>
    <w:p>
      <w:r>
        <w:rPr>
          <w:rFonts w:ascii="Georgia" w:hAnsi="Georgia"/>
          <w:b w:val="0"/>
          <w:i w:val="0"/>
          <w:color w:val="3B2F24"/>
          <w:sz w:val="22"/>
        </w:rPr>
      </w:r>
    </w:p>
    <w:p>
      <w:r>
        <w:rPr>
          <w:rFonts w:ascii="Georgia" w:hAnsi="Georgia"/>
          <w:b/>
          <w:i w:val="0"/>
          <w:color w:val="8B3A2E"/>
          <w:sz w:val="24"/>
        </w:rPr>
        <w:t xml:space="preserve">Net positioning: </w:t>
      </w:r>
      <w:r>
        <w:rPr>
          <w:rFonts w:ascii="Georgia" w:hAnsi="Georgia"/>
          <w:b w:val="0"/>
          <w:i w:val="0"/>
          <w:color w:val="3B2F24"/>
          <w:sz w:val="22"/>
        </w:rPr>
        <w:t>a publicly accessible, scale-validated, calibratable interactive grid-resilience simulator for a specific real-world utility service territory. The contribution is the integration — the engineering of an accessible tool with research-grade behaviour — rather than a new algorithm.</w:t>
      </w:r>
    </w:p>
    <w:p>
      <w:r>
        <w:rPr>
          <w:rFonts w:ascii="Georgia" w:hAnsi="Georgia"/>
          <w:b w:val="0"/>
          <w:i w:val="0"/>
          <w:color w:val="3B2F24"/>
          <w:sz w:val="22"/>
        </w:rPr>
      </w:r>
    </w:p>
    <w:p>
      <w:r>
        <w:rPr>
          <w:rFonts w:ascii="Georgia" w:hAnsi="Georgia"/>
          <w:b/>
          <w:i w:val="0"/>
          <w:color w:val="8B3A2E"/>
          <w:sz w:val="30"/>
        </w:rPr>
        <w:t>Literature Map by Theme</w:t>
      </w:r>
    </w:p>
    <w:p>
      <w:r>
        <w:rPr>
          <w:rFonts w:ascii="Georgia" w:hAnsi="Georgia"/>
          <w:b w:val="0"/>
          <w:i/>
          <w:color w:val="705638"/>
          <w:sz w:val="20"/>
        </w:rPr>
        <w:t>Authors and groups whose work directly intersects this project. Verify each citation independently — these are starting points for your own search.</w:t>
      </w:r>
    </w:p>
    <w:p>
      <w:r>
        <w:rPr>
          <w:rFonts w:ascii="Georgia" w:hAnsi="Georgia"/>
          <w:b/>
          <w:i w:val="0"/>
          <w:color w:val="8B3A2E"/>
          <w:sz w:val="30"/>
        </w:rPr>
        <w:t>Grid Restoration Optimisation (MILP / Stochastic)</w:t>
      </w:r>
    </w:p>
    <w:tbl>
      <w:tblPr>
        <w:tblW w:type="auto" w:w="0"/>
        <w:tblLook w:firstColumn="1" w:firstRow="1" w:lastColumn="0" w:lastRow="0" w:noHBand="0" w:noVBand="1" w:val="04A0"/>
      </w:tblPr>
      <w:tblGrid>
        <w:gridCol w:w="4824"/>
        <w:gridCol w:w="4824"/>
      </w:tblGrid>
      <w:tr>
        <w:tc>
          <w:tcPr>
            <w:tcW w:type="dxa" w:w="345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Van Hentenryck, P.; Coffrin, C. et al.</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Last-mile restoration formulations and convex relaxations of power flow for restoration. Key starting point for MILP comparison.</w:t>
            </w:r>
          </w:p>
        </w:tc>
      </w:tr>
      <w:tr>
        <w:tc>
          <w:tcPr>
            <w:tcW w:type="dxa" w:w="345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Arif, A.; Wang, Z.; Wang, J.; Mather, B.; Bashualdo, H.; Zhao, D.</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Multi-stage distribution-system restoration with stochastic repair times. Closely matches your problem statement.</w:t>
            </w:r>
          </w:p>
        </w:tc>
      </w:tr>
      <w:tr>
        <w:tc>
          <w:tcPr>
            <w:tcW w:type="dxa" w:w="345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Watson, J-P.; Greenberg, H.; Hart, W. (Sandia)</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Power-infrastructure restoration scheduling under uncertainty. Foundational.</w:t>
            </w:r>
          </w:p>
        </w:tc>
      </w:tr>
      <w:tr>
        <w:tc>
          <w:tcPr>
            <w:tcW w:type="dxa" w:w="345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Castillo, A. (2014)</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Survey of restoration models. Useful for situating your greedy among the broader model family.</w:t>
            </w:r>
          </w:p>
        </w:tc>
      </w:tr>
    </w:tbl>
    <w:p>
      <w:r>
        <w:rPr>
          <w:rFonts w:ascii="Georgia" w:hAnsi="Georgia"/>
          <w:b/>
          <w:i w:val="0"/>
          <w:color w:val="8B3A2E"/>
          <w:sz w:val="30"/>
        </w:rPr>
        <w:t>Storm-Induced Outage Modelling &amp; Prediction</w:t>
      </w:r>
    </w:p>
    <w:tbl>
      <w:tblPr>
        <w:tblW w:type="auto" w:w="0"/>
        <w:tblLook w:firstColumn="1" w:firstRow="1" w:lastColumn="0" w:lastRow="0" w:noHBand="0" w:noVBand="1" w:val="04A0"/>
      </w:tblPr>
      <w:tblGrid>
        <w:gridCol w:w="4824"/>
        <w:gridCol w:w="4824"/>
      </w:tblGrid>
      <w:tr>
        <w:tc>
          <w:tcPr>
            <w:tcW w:type="dxa" w:w="345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Nateghi, R.; Guikema, S.; Quiring, S.</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Statistical models for hurricane-induced power-outage durations and counts. Directly relevant once you have real Eversource data.</w:t>
            </w:r>
          </w:p>
        </w:tc>
      </w:tr>
      <w:tr>
        <w:tc>
          <w:tcPr>
            <w:tcW w:type="dxa" w:w="345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Han, S-R.; Guikema, S.; Quiring, S. et al.</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Outage-prediction model evaluation against historical events. Useful template for validation methodology.</w:t>
            </w:r>
          </w:p>
        </w:tc>
      </w:tr>
      <w:tr>
        <w:tc>
          <w:tcPr>
            <w:tcW w:type="dxa" w:w="345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Liu, H.; Davidson, R.; Apanasovich, T.</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Spatial generalised linear mixed models for storm outage prediction.</w:t>
            </w:r>
          </w:p>
        </w:tc>
      </w:tr>
    </w:tbl>
    <w:p>
      <w:r>
        <w:rPr>
          <w:rFonts w:ascii="Georgia" w:hAnsi="Georgia"/>
          <w:b/>
          <w:i w:val="0"/>
          <w:color w:val="8B3A2E"/>
          <w:sz w:val="30"/>
        </w:rPr>
        <w:t>Synthetic Grid Generation</w:t>
      </w:r>
    </w:p>
    <w:tbl>
      <w:tblPr>
        <w:tblW w:type="auto" w:w="0"/>
        <w:tblLook w:firstColumn="1" w:firstRow="1" w:lastColumn="0" w:lastRow="0" w:noHBand="0" w:noVBand="1" w:val="04A0"/>
      </w:tblPr>
      <w:tblGrid>
        <w:gridCol w:w="4824"/>
        <w:gridCol w:w="4824"/>
      </w:tblGrid>
      <w:tr>
        <w:tc>
          <w:tcPr>
            <w:tcW w:type="dxa" w:w="345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Birchfield, A. B.; Xu, T.; Gegner, K. M.; Shetye, K. S.; Overbye, T. J. (Texas A&amp;M)</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Synthetic transmission grid construction methodology. Transmission-level, but the methods (k-means substation placement, demand allocation) directly informed your distribution-level approach.</w:t>
            </w:r>
          </w:p>
        </w:tc>
      </w:tr>
      <w:tr>
        <w:tc>
          <w:tcPr>
            <w:tcW w:type="dxa" w:w="345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Schweitzer Engineering / IEEE PES Distribution Test Feeders</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Standard feeder datasets (IEEE 13, 34, 123-node). Useful as ground-truth shape tests for the synthetic-feeder logic.</w:t>
            </w:r>
          </w:p>
        </w:tc>
      </w:tr>
    </w:tbl>
    <w:p>
      <w:r>
        <w:rPr>
          <w:rFonts w:ascii="Georgia" w:hAnsi="Georgia"/>
          <w:b/>
          <w:i w:val="0"/>
          <w:color w:val="8B3A2E"/>
          <w:sz w:val="30"/>
        </w:rPr>
        <w:t>Crew Routing &amp; Vehicle Routing Variants</w:t>
      </w:r>
    </w:p>
    <w:tbl>
      <w:tblPr>
        <w:tblW w:type="auto" w:w="0"/>
        <w:tblLook w:firstColumn="1" w:firstRow="1" w:lastColumn="0" w:lastRow="0" w:noHBand="0" w:noVBand="1" w:val="04A0"/>
      </w:tblPr>
      <w:tblGrid>
        <w:gridCol w:w="4824"/>
        <w:gridCol w:w="4824"/>
      </w:tblGrid>
      <w:tr>
        <w:tc>
          <w:tcPr>
            <w:tcW w:type="dxa" w:w="345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Toth, P.; Vigo, D. (eds.)</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The Vehicle Routing Problem textbook. Foundational for understanding where your greedy sits in the broader VRP / job-shop landscape.</w:t>
            </w:r>
          </w:p>
        </w:tc>
      </w:tr>
      <w:tr>
        <w:tc>
          <w:tcPr>
            <w:tcW w:type="dxa" w:w="345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Perrier, N.; Langevin, A.; Campbell, J. F.</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Survey of operations-research models for snow plowing — analogous routing/scheduling problem with crews dispatched after disruption.</w:t>
            </w:r>
          </w:p>
        </w:tc>
      </w:tr>
      <w:tr>
        <w:tc>
          <w:tcPr>
            <w:tcW w:type="dxa" w:w="345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Solomon, M.</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VRPTW benchmark instances. Standard test set for time-window variants.</w:t>
            </w:r>
          </w:p>
        </w:tc>
      </w:tr>
    </w:tbl>
    <w:p>
      <w:r>
        <w:rPr>
          <w:rFonts w:ascii="Georgia" w:hAnsi="Georgia"/>
          <w:b/>
          <w:i w:val="0"/>
          <w:color w:val="8B3A2E"/>
          <w:sz w:val="30"/>
        </w:rPr>
        <w:t>Resilience Metrics &amp; Frameworks</w:t>
      </w:r>
    </w:p>
    <w:tbl>
      <w:tblPr>
        <w:tblW w:type="auto" w:w="0"/>
        <w:tblLook w:firstColumn="1" w:firstRow="1" w:lastColumn="0" w:lastRow="0" w:noHBand="0" w:noVBand="1" w:val="04A0"/>
      </w:tblPr>
      <w:tblGrid>
        <w:gridCol w:w="4824"/>
        <w:gridCol w:w="4824"/>
      </w:tblGrid>
      <w:tr>
        <w:tc>
          <w:tcPr>
            <w:tcW w:type="dxa" w:w="345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Power-system resilience under extreme weather. Defines metrics like 'resilience trapezoid' which could frame your output.</w:t>
            </w:r>
          </w:p>
        </w:tc>
      </w:tr>
      <w:tr>
        <w:tc>
          <w:tcPr>
            <w:tcW w:type="dxa" w:w="345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Bie, Z.; Lin, Y.; Li, G.; Li, F.</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Survey of distribution-system resilience including microgrid contributions.</w:t>
            </w:r>
          </w:p>
        </w:tc>
      </w:tr>
      <w:tr>
        <w:tc>
          <w:tcPr>
            <w:tcW w:type="dxa" w:w="345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National Academies (2017)</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'Enhancing the Resilience of the Nation's Electricity System.' Useful policy-context citation for the introduction of any paper.</w:t>
            </w:r>
          </w:p>
        </w:tc>
      </w:tr>
    </w:tbl>
    <w:p>
      <w:r>
        <w:rPr>
          <w:rFonts w:ascii="Georgia" w:hAnsi="Georgia"/>
          <w:b/>
          <w:i w:val="0"/>
          <w:color w:val="8B3A2E"/>
          <w:sz w:val="30"/>
        </w:rPr>
        <w:t>Interactive &amp; Browser-Based Visualization</w:t>
      </w:r>
    </w:p>
    <w:tbl>
      <w:tblPr>
        <w:tblW w:type="auto" w:w="0"/>
        <w:tblLook w:firstColumn="1" w:firstRow="1" w:lastColumn="0" w:lastRow="0" w:noHBand="0" w:noVBand="1" w:val="04A0"/>
      </w:tblPr>
      <w:tblGrid>
        <w:gridCol w:w="4824"/>
        <w:gridCol w:w="4824"/>
      </w:tblGrid>
      <w:tr>
        <w:tc>
          <w:tcPr>
            <w:tcW w:type="dxa" w:w="345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Halberstam, Y.; Ginsberg, J. (or similar grid-data visualisation work)</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Web-based grid-data visualisers are scattered through blog posts and Jupyter demos; less peer-reviewed literature here — which is precisely why your interactive tool occupies a distinctive niche.</w:t>
            </w:r>
          </w:p>
        </w:tc>
      </w:tr>
      <w:tr>
        <w:tc>
          <w:tcPr>
            <w:tcW w:type="dxa" w:w="345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Leaflet / D3.js visualization patterns</w:t>
            </w:r>
          </w:p>
        </w:tc>
        <w:tc>
          <w:tcPr>
            <w:tcW w:type="dxa" w:w="5760"/>
            <w:tcBorders>
              <w:top w:val="single" w:sz="4" w:color="C9B894"/>
              <w:left w:val="single" w:sz="4" w:color="C9B894"/>
              <w:bottom w:val="single" w:sz="4" w:color="C9B894"/>
              <w:right w:val="single" w:sz="4" w:color="C9B894"/>
            </w:tcBorders>
          </w:tcPr>
          <w:p>
            <w:r>
              <w:rPr>
                <w:rFonts w:ascii="Georgia" w:hAnsi="Georgia"/>
                <w:b w:val="0"/>
                <w:i w:val="0"/>
                <w:color w:val="3B2F24"/>
                <w:sz w:val="22"/>
              </w:rPr>
              <w:t>Engineering precedents rather than research citations. Worth a methods-section note rather than a literature citation.</w:t>
            </w:r>
          </w:p>
        </w:tc>
      </w:tr>
    </w:tbl>
    <w:p>
      <w:r>
        <w:rPr>
          <w:rFonts w:ascii="Georgia" w:hAnsi="Georgia"/>
          <w:b w:val="0"/>
          <w:i w:val="0"/>
          <w:color w:val="3B2F24"/>
          <w:sz w:val="22"/>
        </w:rPr>
      </w:r>
    </w:p>
    <w:p>
      <w:r>
        <w:rPr>
          <w:rFonts w:ascii="Georgia" w:hAnsi="Georgia"/>
          <w:b/>
          <w:i w:val="0"/>
          <w:color w:val="8B3A2E"/>
          <w:sz w:val="30"/>
        </w:rPr>
        <w:t>Where Your Contribution Sits — A Sketch for the Introduction</w:t>
      </w:r>
    </w:p>
    <w:p>
      <w:r>
        <w:rPr>
          <w:rFonts w:ascii="Georgia" w:hAnsi="Georgia"/>
          <w:b w:val="0"/>
          <w:i w:val="0"/>
          <w:color w:val="3B2F24"/>
          <w:sz w:val="22"/>
        </w:rPr>
        <w:t>Restoration scheduling for distribution-system outages has a rich operations-research literature dominated by MILP and stochastic-programming formulations (Van Hentenryck, Arif et al., Watson et al.). In parallel, statistical outage-prediction work (Nateghi, Guikema, Quiring) has matured into utility-grade tools. Yet two gaps remain: (i) the decision-support pipeline between these two communities is largely proprietary, trapped inside commercial OMS platforms; and (ii) academic restoration models are rarely validated against the publicly available PURA storm-event filings that Connecticut utilities are required to produce.</w:t>
      </w:r>
    </w:p>
    <w:p>
      <w:r>
        <w:rPr>
          <w:rFonts w:ascii="Georgia" w:hAnsi="Georgia"/>
          <w:b w:val="0"/>
          <w:i w:val="0"/>
          <w:color w:val="3B2F24"/>
          <w:sz w:val="22"/>
        </w:rPr>
        <w:t>This work contributes a publicly accessible, browser-first interactive simulator for Hartford County and (by extension) the Connecticut service territory, with the engineering capacity to run 100 000-outage scenarios and Monte Carlo ensembles in tens of milliseconds. The simulator is positioned as the calibration substrate for future work matching synthetic restoration timelines against real Eversource event histories. The intended contribution is the integration — an accessible, scale-validated, calibratable tool — rather than a novel scheduling algorithm.</w:t>
      </w:r>
    </w:p>
    <w:p>
      <w:r>
        <w:rPr>
          <w:rFonts w:ascii="Georgia" w:hAnsi="Georgia"/>
          <w:b w:val="0"/>
          <w:i w:val="0"/>
          <w:color w:val="3B2F24"/>
          <w:sz w:val="22"/>
        </w:rPr>
      </w:r>
    </w:p>
    <w:p>
      <w:r>
        <w:rPr>
          <w:rFonts w:ascii="Georgia" w:hAnsi="Georgia"/>
          <w:b/>
          <w:i w:val="0"/>
          <w:color w:val="8B3A2E"/>
          <w:sz w:val="30"/>
        </w:rPr>
        <w:t>Open Questions Your Paper Can Answer</w:t>
      </w:r>
    </w:p>
    <w:p>
      <w:r>
        <w:rPr>
          <w:rFonts w:ascii="Georgia" w:hAnsi="Georgia"/>
          <w:b/>
          <w:i w:val="0"/>
          <w:color w:val="7C2D12"/>
          <w:sz w:val="24"/>
        </w:rPr>
        <w:t xml:space="preserve">?  </w:t>
      </w:r>
      <w:r>
        <w:rPr>
          <w:rFonts w:ascii="Georgia" w:hAnsi="Georgia"/>
          <w:b w:val="0"/>
          <w:i w:val="0"/>
          <w:color w:val="3B2F24"/>
          <w:sz w:val="22"/>
        </w:rPr>
        <w:t>How close is the greedy rolling-horizon heuristic to MILP-optimal restoration at the scales where MILP is tractable (N ≤ 50)? What is the suboptimality gap as a function of crew/outage ratio?</w:t>
      </w:r>
    </w:p>
    <w:p>
      <w:r>
        <w:rPr>
          <w:rFonts w:ascii="Georgia" w:hAnsi="Georgia"/>
          <w:b/>
          <w:i w:val="0"/>
          <w:color w:val="7C2D12"/>
          <w:sz w:val="24"/>
        </w:rPr>
        <w:t xml:space="preserve">?  </w:t>
      </w:r>
      <w:r>
        <w:rPr>
          <w:rFonts w:ascii="Georgia" w:hAnsi="Georgia"/>
          <w:b w:val="0"/>
          <w:i w:val="0"/>
          <w:color w:val="3B2F24"/>
          <w:sz w:val="22"/>
        </w:rPr>
        <w:t>Given calibration against one real Eversource storm event (e.g., Isaias 2020 or the May 2018 tornado outage), how well do the model's parameters generalise to a held-out storm?</w:t>
      </w:r>
    </w:p>
    <w:p>
      <w:r>
        <w:rPr>
          <w:rFonts w:ascii="Georgia" w:hAnsi="Georgia"/>
          <w:b/>
          <w:i w:val="0"/>
          <w:color w:val="7C2D12"/>
          <w:sz w:val="24"/>
        </w:rPr>
        <w:t xml:space="preserve">?  </w:t>
      </w:r>
      <w:r>
        <w:rPr>
          <w:rFonts w:ascii="Georgia" w:hAnsi="Georgia"/>
          <w:b w:val="0"/>
          <w:i w:val="0"/>
          <w:color w:val="3B2F24"/>
          <w:sz w:val="22"/>
        </w:rPr>
        <w:t>How do restoration-time distributions change as you scale from county- to state-level outage counts? Is there a phase transition in crew-utilisation efficiency?</w:t>
      </w:r>
    </w:p>
    <w:p>
      <w:r>
        <w:rPr>
          <w:rFonts w:ascii="Georgia" w:hAnsi="Georgia"/>
          <w:b/>
          <w:i w:val="0"/>
          <w:color w:val="7C2D12"/>
          <w:sz w:val="24"/>
        </w:rPr>
        <w:t xml:space="preserve">?  </w:t>
      </w:r>
      <w:r>
        <w:rPr>
          <w:rFonts w:ascii="Georgia" w:hAnsi="Georgia"/>
          <w:b w:val="0"/>
          <w:i w:val="0"/>
          <w:color w:val="3B2F24"/>
          <w:sz w:val="22"/>
        </w:rPr>
        <w:t>Does adding stochastic re-discovery (delayed outage reporting) change the optimal crew dispatch strategy versus deterministic assumptions?</w:t>
      </w:r>
    </w:p>
    <w:p>
      <w:r>
        <w:rPr>
          <w:rFonts w:ascii="Georgia" w:hAnsi="Georgia"/>
          <w:b w:val="0"/>
          <w:i w:val="0"/>
          <w:color w:val="3B2F24"/>
          <w:sz w:val="22"/>
        </w:rPr>
      </w:r>
    </w:p>
    <w:p>
      <w:r>
        <w:rPr>
          <w:rFonts w:ascii="Georgia" w:hAnsi="Georgia"/>
          <w:b/>
          <w:i w:val="0"/>
          <w:color w:val="8B3A2E"/>
          <w:sz w:val="30"/>
        </w:rPr>
        <w:t>Data Sources to Pursue</w:t>
      </w:r>
    </w:p>
    <w:p>
      <w:r>
        <w:rPr>
          <w:rFonts w:ascii="Georgia" w:hAnsi="Georgia"/>
          <w:b/>
          <w:i w:val="0"/>
          <w:color w:val="8B3A2E"/>
          <w:sz w:val="24"/>
        </w:rPr>
        <w:t xml:space="preserve">■ </w:t>
      </w:r>
      <w:r>
        <w:rPr>
          <w:rFonts w:ascii="Georgia" w:hAnsi="Georgia"/>
          <w:b/>
          <w:i w:val="0"/>
          <w:color w:val="3B2F24"/>
          <w:sz w:val="22"/>
        </w:rPr>
        <w:t xml:space="preserve">Connecticut PURA dockets.  </w:t>
      </w:r>
      <w:r>
        <w:rPr>
          <w:rFonts w:ascii="Georgia" w:hAnsi="Georgia"/>
          <w:b w:val="0"/>
          <w:i w:val="0"/>
          <w:color w:val="3B2F24"/>
          <w:sz w:val="22"/>
        </w:rPr>
        <w:t>Post-storm filings for major events (Isaias 2020, May 2018 tornado). Searchable at dpuc.state.ct.us. Restoration timelines, crew counts, mutual-aid arrivals.</w:t>
      </w:r>
    </w:p>
    <w:p>
      <w:r>
        <w:rPr>
          <w:rFonts w:ascii="Georgia" w:hAnsi="Georgia"/>
          <w:b/>
          <w:i w:val="0"/>
          <w:color w:val="8B3A2E"/>
          <w:sz w:val="24"/>
        </w:rPr>
        <w:t xml:space="preserve">■ </w:t>
      </w:r>
      <w:r>
        <w:rPr>
          <w:rFonts w:ascii="Georgia" w:hAnsi="Georgia"/>
          <w:b/>
          <w:i w:val="0"/>
          <w:color w:val="3B2F24"/>
          <w:sz w:val="22"/>
        </w:rPr>
        <w:t xml:space="preserve">Eversource storm reports.  </w:t>
      </w:r>
      <w:r>
        <w:rPr>
          <w:rFonts w:ascii="Georgia" w:hAnsi="Georgia"/>
          <w:b w:val="0"/>
          <w:i w:val="0"/>
          <w:color w:val="3B2F24"/>
          <w:sz w:val="22"/>
        </w:rPr>
        <w:t>Public-facing post-storm documents and PURA submissions. Often include outage curve, crew totals, customer-minutes-without-service.</w:t>
      </w:r>
    </w:p>
    <w:p>
      <w:r>
        <w:rPr>
          <w:rFonts w:ascii="Georgia" w:hAnsi="Georgia"/>
          <w:b/>
          <w:i w:val="0"/>
          <w:color w:val="8B3A2E"/>
          <w:sz w:val="24"/>
        </w:rPr>
        <w:t xml:space="preserve">■ </w:t>
      </w:r>
      <w:r>
        <w:rPr>
          <w:rFonts w:ascii="Georgia" w:hAnsi="Georgia"/>
          <w:b/>
          <w:i w:val="0"/>
          <w:color w:val="3B2F24"/>
          <w:sz w:val="22"/>
        </w:rPr>
        <w:t xml:space="preserve">U.S. Energy Information Administration Form EIA-417.  </w:t>
      </w:r>
      <w:r>
        <w:rPr>
          <w:rFonts w:ascii="Georgia" w:hAnsi="Georgia"/>
          <w:b w:val="0"/>
          <w:i w:val="0"/>
          <w:color w:val="3B2F24"/>
          <w:sz w:val="22"/>
        </w:rPr>
        <w:t>Major electric-disturbance reports. Coarse but federal-level coverage of major outage events including Connecticut.</w:t>
      </w:r>
    </w:p>
    <w:p>
      <w:r>
        <w:rPr>
          <w:rFonts w:ascii="Georgia" w:hAnsi="Georgia"/>
          <w:b/>
          <w:i w:val="0"/>
          <w:color w:val="8B3A2E"/>
          <w:sz w:val="24"/>
        </w:rPr>
        <w:t xml:space="preserve">■ </w:t>
      </w:r>
      <w:r>
        <w:rPr>
          <w:rFonts w:ascii="Georgia" w:hAnsi="Georgia"/>
          <w:b/>
          <w:i w:val="0"/>
          <w:color w:val="3B2F24"/>
          <w:sz w:val="22"/>
        </w:rPr>
        <w:t xml:space="preserve">DOE OE-417 disturbance dataset.  </w:t>
      </w:r>
      <w:r>
        <w:rPr>
          <w:rFonts w:ascii="Georgia" w:hAnsi="Georgia"/>
          <w:b w:val="0"/>
          <w:i w:val="0"/>
          <w:color w:val="3B2F24"/>
          <w:sz w:val="22"/>
        </w:rPr>
        <w:t>Similar federal dataset, downloadable bulk.</w:t>
      </w:r>
    </w:p>
    <w:p>
      <w:r>
        <w:rPr>
          <w:rFonts w:ascii="Georgia" w:hAnsi="Georgia"/>
          <w:b/>
          <w:i w:val="0"/>
          <w:color w:val="8B3A2E"/>
          <w:sz w:val="24"/>
        </w:rPr>
        <w:t xml:space="preserve">■ </w:t>
      </w:r>
      <w:r>
        <w:rPr>
          <w:rFonts w:ascii="Georgia" w:hAnsi="Georgia"/>
          <w:b/>
          <w:i w:val="0"/>
          <w:color w:val="3B2F24"/>
          <w:sz w:val="22"/>
        </w:rPr>
        <w:t xml:space="preserve">County / municipal GIS.  </w:t>
      </w:r>
      <w:r>
        <w:rPr>
          <w:rFonts w:ascii="Georgia" w:hAnsi="Georgia"/>
          <w:b w:val="0"/>
          <w:i w:val="0"/>
          <w:color w:val="3B2F24"/>
          <w:sz w:val="22"/>
        </w:rPr>
        <w:t>For real road network and population density — eventual upgrade from the synthetic demand-point model.</w:t>
      </w:r>
    </w:p>
    <w:p>
      <w:r>
        <w:rPr>
          <w:rFonts w:ascii="Georgia" w:hAnsi="Georgia"/>
          <w:b w:val="0"/>
          <w:i w:val="0"/>
          <w:color w:val="3B2F24"/>
          <w:sz w:val="22"/>
        </w:rPr>
      </w:r>
    </w:p>
    <w:p>
      <w:r>
        <w:rPr>
          <w:rFonts w:ascii="Georgia" w:hAnsi="Georgia"/>
          <w:b w:val="0"/>
          <w:i/>
          <w:color w:val="705638"/>
          <w:sz w:val="20"/>
        </w:rPr>
        <w:t>These citations are starting points drawn from a literature scan rather than an exhaustive bibliography. Verify each on Google Scholar / IEEE Xplore before citing in a manuscript, and use this map to seed a more thorough review.</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