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color w:val="8B3A2E"/>
          <w:sz w:val="44"/>
        </w:rPr>
        <w:t>Research Context &amp; Literature Map</w:t>
      </w:r>
    </w:p>
    <w:p>
      <w:r>
        <w:rPr>
          <w:rFonts w:ascii="Georgia" w:hAnsi="Georgia"/>
          <w:b w:val="0"/>
          <w:i/>
          <w:color w:val="705638"/>
          <w:sz w:val="24"/>
        </w:rPr>
        <w:t>Hartford County Power Grid Resilience Simulation</w:t>
      </w:r>
    </w:p>
    <w:p>
      <w:r>
        <w:rPr>
          <w:rFonts w:ascii="Georgia" w:hAnsi="Georgia"/>
          <w:b w:val="0"/>
          <w:i/>
          <w:color w:val="705638"/>
          <w:sz w:val="20"/>
        </w:rPr>
        <w:t>Companion to the development journal</w:t>
      </w:r>
    </w:p>
    <w:p>
      <w:r>
        <w:rPr>
          <w:rFonts w:ascii="Georgia" w:hAnsi="Georgia"/>
          <w:b w:val="0"/>
          <w:i w:val="0"/>
          <w:color w:val="3B2F24"/>
          <w:sz w:val="22"/>
        </w:rPr>
      </w:r>
    </w:p>
    <w:p>
      <w:r>
        <w:rPr>
          <w:rFonts w:ascii="Georgia" w:hAnsi="Georgia"/>
          <w:b/>
          <w:i w:val="0"/>
          <w:color w:val="8B3A2E"/>
          <w:sz w:val="30"/>
        </w:rPr>
        <w:t>What This Project Is, In One Paragraph</w:t>
      </w:r>
    </w:p>
    <w:p>
      <w:r>
        <w:rPr>
          <w:rFonts w:ascii="Georgia" w:hAnsi="Georgia"/>
          <w:b w:val="0"/>
          <w:i w:val="0"/>
          <w:color w:val="3B2F24"/>
          <w:sz w:val="22"/>
        </w:rPr>
        <w:t>A browser-first, county-specific interactive simulation of post-storm distribution-grid restoration. Models 100k+ outages and 5 000+ crews at Connecticut scale in under a second per scenario, with a server backend exposing Monte Carlo ensembles. The greedy rolling-horizon scheduler accounts for damage-assessment delay, log-normal repair durations, mutual-aid waves, workday clamps, and crew-routing heuristics. Designed as a foundation for calibration against real Eversource / PURA storm post-mortem data and for benchmarking against an MILP optimal scheduler.</w:t>
      </w:r>
    </w:p>
    <w:p>
      <w:r>
        <w:rPr>
          <w:rFonts w:ascii="Georgia" w:hAnsi="Georgia"/>
          <w:b w:val="0"/>
          <w:i w:val="0"/>
          <w:color w:val="3B2F24"/>
          <w:sz w:val="22"/>
        </w:rPr>
      </w:r>
    </w:p>
    <w:p>
      <w:r>
        <w:rPr>
          <w:rFonts w:ascii="Georgia" w:hAnsi="Georgia"/>
          <w:b/>
          <w:i w:val="0"/>
          <w:color w:val="8B3A2E"/>
          <w:sz w:val="30"/>
        </w:rPr>
        <w:t>The Niche You Are Exploring</w:t>
      </w:r>
    </w:p>
    <w:p>
      <w:r>
        <w:rPr>
          <w:rFonts w:ascii="Georgia" w:hAnsi="Georgia"/>
          <w:b w:val="0"/>
          <w:i/>
          <w:color w:val="705638"/>
          <w:sz w:val="20"/>
        </w:rPr>
        <w:t>Reading of the academic + industry landscape; revise as you find more sources.</w:t>
      </w:r>
    </w:p>
    <w:p>
      <w:r>
        <w:rPr>
          <w:rFonts w:ascii="Georgia" w:hAnsi="Georgia"/>
          <w:b/>
          <w:i w:val="0"/>
          <w:color w:val="8B3A2E"/>
          <w:sz w:val="24"/>
        </w:rPr>
        <w:t xml:space="preserve">▸ </w:t>
      </w:r>
      <w:r>
        <w:rPr>
          <w:rFonts w:ascii="Georgia" w:hAnsi="Georgia"/>
          <w:b/>
          <w:i w:val="0"/>
          <w:color w:val="3B2F24"/>
          <w:sz w:val="22"/>
        </w:rPr>
        <w:t>Most academic work on grid restoration is offline batch optimisation.</w:t>
      </w:r>
    </w:p>
    <w:p>
      <w:r>
        <w:rPr>
          <w:rFonts w:ascii="Georgia" w:hAnsi="Georgia"/>
          <w:b w:val="0"/>
          <w:i w:val="0"/>
          <w:color w:val="3B2F24"/>
          <w:sz w:val="22"/>
        </w:rPr>
        <w:t xml:space="preserve">    Coffrin, Van Hentenryck, and collaborators have produced strong MILP and convex-relaxation models for transmission restoration. Less work targets distribution-level, county-scale, and almost none of it is interactive.</w:t>
      </w:r>
    </w:p>
    <w:p>
      <w:r>
        <w:rPr>
          <w:rFonts w:ascii="Georgia" w:hAnsi="Georgia"/>
          <w:b/>
          <w:i w:val="0"/>
          <w:color w:val="8B3A2E"/>
          <w:sz w:val="24"/>
        </w:rPr>
        <w:t xml:space="preserve">▸ </w:t>
      </w:r>
      <w:r>
        <w:rPr>
          <w:rFonts w:ascii="Georgia" w:hAnsi="Georgia"/>
          <w:b/>
          <w:i w:val="0"/>
          <w:color w:val="3B2F24"/>
          <w:sz w:val="22"/>
        </w:rPr>
        <w:t>Most utility decision-support tools are proprietary and inaccessible.</w:t>
      </w:r>
    </w:p>
    <w:p>
      <w:r>
        <w:rPr>
          <w:rFonts w:ascii="Georgia" w:hAnsi="Georgia"/>
          <w:b w:val="0"/>
          <w:i w:val="0"/>
          <w:color w:val="3B2F24"/>
          <w:sz w:val="22"/>
        </w:rPr>
        <w:t xml:space="preserve">    Eversource, Avangrid, and others use commercial outage-management systems (OMS) like OSI Monarch or GE PowerOn. These run in control rooms and are not accessible for academic exploration.</w:t>
      </w:r>
    </w:p>
    <w:p>
      <w:r>
        <w:rPr>
          <w:rFonts w:ascii="Georgia" w:hAnsi="Georgia"/>
          <w:b/>
          <w:i w:val="0"/>
          <w:color w:val="8B3A2E"/>
          <w:sz w:val="24"/>
        </w:rPr>
        <w:t xml:space="preserve">▸ </w:t>
      </w:r>
      <w:r>
        <w:rPr>
          <w:rFonts w:ascii="Georgia" w:hAnsi="Georgia"/>
          <w:b/>
          <w:i w:val="0"/>
          <w:color w:val="3B2F24"/>
          <w:sz w:val="22"/>
        </w:rPr>
        <w:t>The synthetic-grid corpus targets transmission, not distribution.</w:t>
      </w:r>
    </w:p>
    <w:p>
      <w:r>
        <w:rPr>
          <w:rFonts w:ascii="Georgia" w:hAnsi="Georgia"/>
          <w:b w:val="0"/>
          <w:i w:val="0"/>
          <w:color w:val="3B2F24"/>
          <w:sz w:val="22"/>
        </w:rPr>
        <w:t xml:space="preserve">    ARPA-E's GRID DATA program and Texas A&amp;M's synthetic networks deliver transmission-scale test cases. County-resolution distribution grids with realistic storm-outage patterns are scarce.</w:t>
      </w:r>
    </w:p>
    <w:p>
      <w:r>
        <w:rPr>
          <w:rFonts w:ascii="Georgia" w:hAnsi="Georgia"/>
          <w:b/>
          <w:i w:val="0"/>
          <w:color w:val="8B3A2E"/>
          <w:sz w:val="24"/>
        </w:rPr>
        <w:t xml:space="preserve">▸ </w:t>
      </w:r>
      <w:r>
        <w:rPr>
          <w:rFonts w:ascii="Georgia" w:hAnsi="Georgia"/>
          <w:b/>
          <w:i w:val="0"/>
          <w:color w:val="3B2F24"/>
          <w:sz w:val="22"/>
        </w:rPr>
        <w:t>Browser-first, real-time interactive grid simulation at this fidelity is rare.</w:t>
      </w:r>
    </w:p>
    <w:p>
      <w:r>
        <w:rPr>
          <w:rFonts w:ascii="Georgia" w:hAnsi="Georgia"/>
          <w:b w:val="0"/>
          <w:i w:val="0"/>
          <w:color w:val="3B2F24"/>
          <w:sz w:val="22"/>
        </w:rPr>
        <w:t xml:space="preserve">    There are a few public demos but most are toy-scale (≤ 100 nodes). Running 100 000 outages + 5 000 crews + Monte Carlo in a browser-backed-by-API pipeline is a differentiator.</w:t>
      </w:r>
    </w:p>
    <w:p>
      <w:r>
        <w:rPr>
          <w:rFonts w:ascii="Georgia" w:hAnsi="Georgia"/>
          <w:b/>
          <w:i w:val="0"/>
          <w:color w:val="8B3A2E"/>
          <w:sz w:val="24"/>
        </w:rPr>
        <w:t xml:space="preserve">▸ </w:t>
      </w:r>
      <w:r>
        <w:rPr>
          <w:rFonts w:ascii="Georgia" w:hAnsi="Georgia"/>
          <w:b/>
          <w:i w:val="0"/>
          <w:color w:val="3B2F24"/>
          <w:sz w:val="22"/>
        </w:rPr>
        <w:t>Calibration against real PURA / Eversource storm filings is largely untouched in published academic work.</w:t>
      </w:r>
    </w:p>
    <w:p>
      <w:r>
        <w:rPr>
          <w:rFonts w:ascii="Georgia" w:hAnsi="Georgia"/>
          <w:b w:val="0"/>
          <w:i w:val="0"/>
          <w:color w:val="3B2F24"/>
          <w:sz w:val="22"/>
        </w:rPr>
        <w:t xml:space="preserve">    Statistical outage-prediction papers exist (Nateghi, Quiring, Guikema). Restoration-timeline calibration is much less common — partly because the data lives in regulatory filings rather than open datasets.</w:t>
      </w:r>
    </w:p>
    <w:p>
      <w:r>
        <w:rPr>
          <w:rFonts w:ascii="Georgia" w:hAnsi="Georgia"/>
          <w:b w:val="0"/>
          <w:i w:val="0"/>
          <w:color w:val="3B2F24"/>
          <w:sz w:val="22"/>
        </w:rPr>
      </w:r>
    </w:p>
    <w:p>
      <w:r>
        <w:rPr>
          <w:rFonts w:ascii="Georgia" w:hAnsi="Georgia"/>
          <w:b/>
          <w:i w:val="0"/>
          <w:color w:val="8B3A2E"/>
          <w:sz w:val="24"/>
        </w:rPr>
        <w:t xml:space="preserve">Net positioning: </w:t>
      </w:r>
      <w:r>
        <w:rPr>
          <w:rFonts w:ascii="Georgia" w:hAnsi="Georgia"/>
          <w:b w:val="0"/>
          <w:i w:val="0"/>
          <w:color w:val="3B2F24"/>
          <w:sz w:val="22"/>
        </w:rPr>
        <w:t>a publicly accessible, scale-validated, calibratable interactive grid-resilience simulator for a specific real-world utility service territory. The contribution is the integration — the engineering of an accessible tool with research-grade behaviour — rather than a new algorithm.</w:t>
      </w:r>
    </w:p>
    <w:p>
      <w:r>
        <w:rPr>
          <w:rFonts w:ascii="Georgia" w:hAnsi="Georgia"/>
          <w:b w:val="0"/>
          <w:i w:val="0"/>
          <w:color w:val="3B2F24"/>
          <w:sz w:val="22"/>
        </w:rPr>
      </w:r>
    </w:p>
    <w:p>
      <w:r>
        <w:rPr>
          <w:rFonts w:ascii="Georgia" w:hAnsi="Georgia"/>
          <w:b/>
          <w:i w:val="0"/>
          <w:color w:val="8B3A2E"/>
          <w:sz w:val="30"/>
        </w:rPr>
        <w:t>Literature Map by Theme</w:t>
      </w:r>
    </w:p>
    <w:p>
      <w:r>
        <w:rPr>
          <w:rFonts w:ascii="Georgia" w:hAnsi="Georgia"/>
          <w:b w:val="0"/>
          <w:i/>
          <w:color w:val="705638"/>
          <w:sz w:val="20"/>
        </w:rPr>
        <w:t>Authors and groups whose work directly intersects this project. Verify each citation independently — these are starting points for your own search.</w:t>
      </w:r>
    </w:p>
    <w:p>
      <w:r>
        <w:rPr>
          <w:rFonts w:ascii="Georgia" w:hAnsi="Georgia"/>
          <w:b/>
          <w:i w:val="0"/>
          <w:color w:val="8B3A2E"/>
          <w:sz w:val="30"/>
        </w:rPr>
        <w:t>Grid Restoration Optimisation (MILP / Stochastic)</w:t>
      </w:r>
    </w:p>
    <w:tbl>
      <w:tblPr>
        <w:tblW w:type="auto" w:w="0"/>
        <w:tblLook w:firstColumn="1" w:firstRow="1" w:lastColumn="0" w:lastRow="0" w:noHBand="0" w:noVBand="1" w:val="04A0"/>
      </w:tblPr>
      <w:tblGrid>
        <w:gridCol w:w="9648"/>
      </w:tblGrid>
      <w:tr>
        <w:tc>
          <w:tcPr>
            <w:tcW w:type="dxa" w:w="9216"/>
            <w:shd w:val="clear" w:color="auto" w:fill="DBEAFE"/>
            <w:tcBorders>
              <w:top w:val="single" w:sz="4" w:color="C9B894"/>
              <w:left w:val="single" w:sz="4" w:color="C9B894"/>
              <w:bottom w:val="single" w:sz="4" w:color="C9B894"/>
              <w:right w:val="single" w:sz="4" w:color="C9B894"/>
            </w:tcBorders>
          </w:tcPr>
          <w:p>
            <w:r>
              <w:rPr>
                <w:rFonts w:ascii="Georgia" w:hAnsi="Georgia"/>
                <w:b/>
                <w:i w:val="0"/>
                <w:color w:val="3B2F24"/>
                <w:sz w:val="22"/>
              </w:rPr>
              <w:t>Van Hentenryck, P., Coffrin, C., Bent, R. (2011). Vehicle Routing for the Last Mile of Power System Restoration. Proc. Power Systems Computation Conference (PSCC).</w:t>
            </w:r>
          </w:p>
        </w:tc>
      </w:tr>
    </w:tbl>
    <w:p>
      <w:r>
        <w:rPr>
          <w:rFonts w:ascii="Georgia" w:hAnsi="Georgia"/>
          <w:b/>
          <w:i w:val="0"/>
          <w:color w:val="8B3A2E"/>
          <w:sz w:val="22"/>
        </w:rPr>
        <w:t xml:space="preserve">Why it matters.  </w:t>
      </w:r>
      <w:r>
        <w:rPr>
          <w:rFonts w:ascii="Georgia" w:hAnsi="Georgia"/>
          <w:b w:val="0"/>
          <w:i w:val="0"/>
          <w:color w:val="3B2F24"/>
          <w:sz w:val="22"/>
        </w:rPr>
        <w:t>formulates power restoration explicitly as a vehicle-routing problem (VRP) on top of network constraints — essentially the academic version of the dispatch problem your scheduler solves heuristically.</w:t>
      </w:r>
    </w:p>
    <w:p>
      <w:r>
        <w:rPr>
          <w:rFonts w:ascii="Georgia" w:hAnsi="Georgia"/>
          <w:b/>
          <w:i w:val="0"/>
          <w:color w:val="8B3A2E"/>
          <w:sz w:val="22"/>
        </w:rPr>
        <w:t xml:space="preserve">What it does.  </w:t>
      </w:r>
      <w:r>
        <w:rPr>
          <w:rFonts w:ascii="Georgia" w:hAnsi="Georgia"/>
          <w:b w:val="0"/>
          <w:i w:val="0"/>
          <w:color w:val="3B2F24"/>
          <w:sz w:val="22"/>
        </w:rPr>
        <w:t>derives a constraint-programming formulation that schedules repair crews across damaged feeders to minimise total customer-minutes without service, with travel times and repair durations as inputs. Uses constraint-based search rather than MILP. Closest single citation to your problem statement.</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Vehicle Routing Problem (VRP) · last-mile restoration · constraint programming · crew scheduling · customer-minutes · feeder repair · objective function · branch-and-bound</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DBEAFE"/>
            <w:tcBorders>
              <w:top w:val="single" w:sz="4" w:color="C9B894"/>
              <w:left w:val="single" w:sz="4" w:color="C9B894"/>
              <w:bottom w:val="single" w:sz="4" w:color="C9B894"/>
              <w:right w:val="single" w:sz="4" w:color="C9B894"/>
            </w:tcBorders>
          </w:tcPr>
          <w:p>
            <w:r>
              <w:rPr>
                <w:rFonts w:ascii="Georgia" w:hAnsi="Georgia"/>
                <w:b/>
                <w:i w:val="0"/>
                <w:color w:val="3B2F24"/>
                <w:sz w:val="22"/>
              </w:rPr>
              <w:t>Coffrin, C., Van Hentenryck, P. (2015). Transmission System Restoration with Co-Optimization of Repairs, Load Pickups, and Generation Dispatch. IEEE Transactions on Power Systems.</w:t>
            </w:r>
          </w:p>
        </w:tc>
      </w:tr>
    </w:tbl>
    <w:p>
      <w:r>
        <w:rPr>
          <w:rFonts w:ascii="Georgia" w:hAnsi="Georgia"/>
          <w:b/>
          <w:i w:val="0"/>
          <w:color w:val="8B3A2E"/>
          <w:sz w:val="22"/>
        </w:rPr>
        <w:t xml:space="preserve">Why it matters.  </w:t>
      </w:r>
      <w:r>
        <w:rPr>
          <w:rFonts w:ascii="Georgia" w:hAnsi="Georgia"/>
          <w:b w:val="0"/>
          <w:i w:val="0"/>
          <w:color w:val="3B2F24"/>
          <w:sz w:val="22"/>
        </w:rPr>
        <w:t>defines the MILP optimal scheduler you'd benchmark your greedy against. Establishes the standard form for restoration-as-optimisation in the academic literature.</w:t>
      </w:r>
    </w:p>
    <w:p>
      <w:r>
        <w:rPr>
          <w:rFonts w:ascii="Georgia" w:hAnsi="Georgia"/>
          <w:b/>
          <w:i w:val="0"/>
          <w:color w:val="8B3A2E"/>
          <w:sz w:val="22"/>
        </w:rPr>
        <w:t xml:space="preserve">What it does.  </w:t>
      </w:r>
      <w:r>
        <w:rPr>
          <w:rFonts w:ascii="Georgia" w:hAnsi="Georgia"/>
          <w:b w:val="0"/>
          <w:i w:val="0"/>
          <w:color w:val="3B2F24"/>
          <w:sz w:val="22"/>
        </w:rPr>
        <w:t>joint MILP for choosing which damaged lines to repair, in what order, while simultaneously dispatching generation and picking up load. Demonstrated on transmission case studies; the formulation generalises to distribution.</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Mixed-Integer Linear Program (MILP) · co-optimisation · transmission restoration · load pickup · generation dispatch · convex relaxation · decision variables · feasibility cuts</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DBEAFE"/>
            <w:tcBorders>
              <w:top w:val="single" w:sz="4" w:color="C9B894"/>
              <w:left w:val="single" w:sz="4" w:color="C9B894"/>
              <w:bottom w:val="single" w:sz="4" w:color="C9B894"/>
              <w:right w:val="single" w:sz="4" w:color="C9B894"/>
            </w:tcBorders>
          </w:tcPr>
          <w:p>
            <w:r>
              <w:rPr>
                <w:rFonts w:ascii="Georgia" w:hAnsi="Georgia"/>
                <w:b/>
                <w:i w:val="0"/>
                <w:color w:val="3B2F24"/>
                <w:sz w:val="22"/>
              </w:rPr>
              <w:t>Arif, A., Wang, Z., Wang, J., Mather, B., Bashualdo, H., Zhao, D. (2018). Power Distribution System Outage Management with Co-Optimization of Repairs, Reconfiguration, and DG Dispatch. IEEE Transactions on Smart Grid 9(5), 4109–4118.</w:t>
            </w:r>
          </w:p>
        </w:tc>
      </w:tr>
    </w:tbl>
    <w:p>
      <w:r>
        <w:rPr>
          <w:rFonts w:ascii="Georgia" w:hAnsi="Georgia"/>
          <w:b/>
          <w:i w:val="0"/>
          <w:color w:val="8B3A2E"/>
          <w:sz w:val="22"/>
        </w:rPr>
        <w:t xml:space="preserve">Why it matters.  </w:t>
      </w:r>
      <w:r>
        <w:rPr>
          <w:rFonts w:ascii="Georgia" w:hAnsi="Georgia"/>
          <w:b w:val="0"/>
          <w:i w:val="0"/>
          <w:color w:val="3B2F24"/>
          <w:sz w:val="22"/>
        </w:rPr>
        <w:t>closest single paper to your problem at the distribution level. Same kind of problem (crews + outages + time), same scale (distribution, not transmission), with the addition of distributed-generation islanding.</w:t>
      </w:r>
    </w:p>
    <w:p>
      <w:r>
        <w:rPr>
          <w:rFonts w:ascii="Georgia" w:hAnsi="Georgia"/>
          <w:b/>
          <w:i w:val="0"/>
          <w:color w:val="8B3A2E"/>
          <w:sz w:val="22"/>
        </w:rPr>
        <w:t xml:space="preserve">What it does.  </w:t>
      </w:r>
      <w:r>
        <w:rPr>
          <w:rFonts w:ascii="Georgia" w:hAnsi="Georgia"/>
          <w:b w:val="0"/>
          <w:i w:val="0"/>
          <w:color w:val="3B2F24"/>
          <w:sz w:val="22"/>
        </w:rPr>
        <w:t>a two-stage stochastic MILP that schedules repair crews while simultaneously reconfiguring the network topology and dispatching distributed generators. Models uncertainty in repair times via scenarios.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two-stage stochastic optimisation · distribution feeder reconfiguration · distributed generation (DG) · microgrid islanding · scenario tree · repair crew dispatch · outage management system (OMS) · MILP</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DBEAFE"/>
            <w:tcBorders>
              <w:top w:val="single" w:sz="4" w:color="C9B894"/>
              <w:left w:val="single" w:sz="4" w:color="C9B894"/>
              <w:bottom w:val="single" w:sz="4" w:color="C9B894"/>
              <w:right w:val="single" w:sz="4" w:color="C9B894"/>
            </w:tcBorders>
          </w:tcPr>
          <w:p>
            <w:r>
              <w:rPr>
                <w:rFonts w:ascii="Georgia" w:hAnsi="Georgia"/>
                <w:b/>
                <w:i w:val="0"/>
                <w:color w:val="3B2F24"/>
                <w:sz w:val="22"/>
              </w:rPr>
              <w:t>Watson, J-P., Hart, W. E., Murray, R. (2005). Formal Methods for the Real-Time Restoration of Electric Power. Sandia National Laboratories Technical Report.</w:t>
            </w:r>
          </w:p>
        </w:tc>
      </w:tr>
    </w:tbl>
    <w:p>
      <w:r>
        <w:rPr>
          <w:rFonts w:ascii="Georgia" w:hAnsi="Georgia"/>
          <w:b/>
          <w:i w:val="0"/>
          <w:color w:val="8B3A2E"/>
          <w:sz w:val="22"/>
        </w:rPr>
        <w:t xml:space="preserve">Why it matters.  </w:t>
      </w:r>
      <w:r>
        <w:rPr>
          <w:rFonts w:ascii="Georgia" w:hAnsi="Georgia"/>
          <w:b w:val="0"/>
          <w:i w:val="0"/>
          <w:color w:val="3B2F24"/>
          <w:sz w:val="22"/>
        </w:rPr>
        <w:t>one of the early Sandia/DOE-funded reports defining the infrastructure-restoration scheduling problem formally. Foundational reference for situating your work in the security-of-supply literature.</w:t>
      </w:r>
    </w:p>
    <w:p>
      <w:r>
        <w:rPr>
          <w:rFonts w:ascii="Georgia" w:hAnsi="Georgia"/>
          <w:b/>
          <w:i w:val="0"/>
          <w:color w:val="8B3A2E"/>
          <w:sz w:val="22"/>
        </w:rPr>
        <w:t xml:space="preserve">What it does.  </w:t>
      </w:r>
      <w:r>
        <w:rPr>
          <w:rFonts w:ascii="Georgia" w:hAnsi="Georgia"/>
          <w:b w:val="0"/>
          <w:i w:val="0"/>
          <w:color w:val="3B2F24"/>
          <w:sz w:val="22"/>
        </w:rPr>
        <w:t>develops mathematical-programming foundations for the restoration problem with uncertainty, including stochastic repair durations and crew availability.</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infrastructure resilience · stochastic programming · scenario-based optimisation · mathematical programming · critical-infrastructure protection · real-time decision support · Sandia · DOE</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DBEAFE"/>
            <w:tcBorders>
              <w:top w:val="single" w:sz="4" w:color="C9B894"/>
              <w:left w:val="single" w:sz="4" w:color="C9B894"/>
              <w:bottom w:val="single" w:sz="4" w:color="C9B894"/>
              <w:right w:val="single" w:sz="4" w:color="C9B894"/>
            </w:tcBorders>
          </w:tcPr>
          <w:p>
            <w:r>
              <w:rPr>
                <w:rFonts w:ascii="Georgia" w:hAnsi="Georgia"/>
                <w:b/>
                <w:i w:val="0"/>
                <w:color w:val="3B2F24"/>
                <w:sz w:val="22"/>
              </w:rPr>
              <w:t>Castillo, A. (2014). Risk Analysis and Management in Power Outage and Restoration: A Literature Survey. Electric Power Systems Research 107, 9–15.</w:t>
            </w:r>
          </w:p>
        </w:tc>
      </w:tr>
    </w:tbl>
    <w:p>
      <w:r>
        <w:rPr>
          <w:rFonts w:ascii="Georgia" w:hAnsi="Georgia"/>
          <w:b/>
          <w:i w:val="0"/>
          <w:color w:val="8B3A2E"/>
          <w:sz w:val="22"/>
        </w:rPr>
        <w:t xml:space="preserve">Why it matters.  </w:t>
      </w:r>
      <w:r>
        <w:rPr>
          <w:rFonts w:ascii="Georgia" w:hAnsi="Georgia"/>
          <w:b w:val="0"/>
          <w:i w:val="0"/>
          <w:color w:val="3B2F24"/>
          <w:sz w:val="22"/>
        </w:rPr>
        <w:t>the single survey to cite in your introduction when situating your greedy among the broader model family.</w:t>
      </w:r>
    </w:p>
    <w:p>
      <w:r>
        <w:rPr>
          <w:rFonts w:ascii="Georgia" w:hAnsi="Georgia"/>
          <w:b/>
          <w:i w:val="0"/>
          <w:color w:val="8B3A2E"/>
          <w:sz w:val="22"/>
        </w:rPr>
        <w:t xml:space="preserve">What it does.  </w:t>
      </w:r>
      <w:r>
        <w:rPr>
          <w:rFonts w:ascii="Georgia" w:hAnsi="Georgia"/>
          <w:b w:val="0"/>
          <w:i w:val="0"/>
          <w:color w:val="3B2F24"/>
          <w:sz w:val="22"/>
        </w:rPr>
        <w:t>surveys restoration approaches across heuristics, MILP, stochastic programming, and decomposition methods; tabulates assumptions and limitations.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literature survey · risk analysis · heuristics · MILP · stochastic programming · Benders decomposition · taxonomy · outage restoration</w:t>
            </w:r>
          </w:p>
        </w:tc>
      </w:tr>
    </w:tbl>
    <w:p>
      <w:r>
        <w:rPr>
          <w:rFonts w:ascii="Georgia" w:hAnsi="Georgia"/>
          <w:b w:val="0"/>
          <w:i w:val="0"/>
          <w:color w:val="3B2F24"/>
          <w:sz w:val="22"/>
        </w:rPr>
      </w:r>
    </w:p>
    <w:p>
      <w:r>
        <w:rPr>
          <w:rFonts w:ascii="Georgia" w:hAnsi="Georgia"/>
          <w:b/>
          <w:i w:val="0"/>
          <w:color w:val="8B3A2E"/>
          <w:sz w:val="30"/>
        </w:rPr>
        <w:t>Storm-Induced Outage Modelling &amp; Prediction</w:t>
      </w:r>
    </w:p>
    <w:tbl>
      <w:tblPr>
        <w:tblW w:type="auto" w:w="0"/>
        <w:tblLook w:firstColumn="1" w:firstRow="1" w:lastColumn="0" w:lastRow="0" w:noHBand="0" w:noVBand="1" w:val="04A0"/>
      </w:tblPr>
      <w:tblGrid>
        <w:gridCol w:w="9648"/>
      </w:tblGrid>
      <w:tr>
        <w:tc>
          <w:tcPr>
            <w:tcW w:type="dxa" w:w="9216"/>
            <w:shd w:val="clear" w:color="auto" w:fill="CCFBF1"/>
            <w:tcBorders>
              <w:top w:val="single" w:sz="4" w:color="C9B894"/>
              <w:left w:val="single" w:sz="4" w:color="C9B894"/>
              <w:bottom w:val="single" w:sz="4" w:color="C9B894"/>
              <w:right w:val="single" w:sz="4" w:color="C9B894"/>
            </w:tcBorders>
          </w:tcPr>
          <w:p>
            <w:r>
              <w:rPr>
                <w:rFonts w:ascii="Georgia" w:hAnsi="Georgia"/>
                <w:b/>
                <w:i w:val="0"/>
                <w:color w:val="3B2F24"/>
                <w:sz w:val="22"/>
              </w:rPr>
              <w:t>Nateghi, R., Guikema, S. D., Quiring, S. M. (2011). Comparison and Validation of Statistical Methods for Predicting Power Outage Durations in the Event of Hurricanes. Risk Analysis 31(12), 1897–1906.</w:t>
            </w:r>
          </w:p>
        </w:tc>
      </w:tr>
    </w:tbl>
    <w:p>
      <w:r>
        <w:rPr>
          <w:rFonts w:ascii="Georgia" w:hAnsi="Georgia"/>
          <w:b/>
          <w:i w:val="0"/>
          <w:color w:val="8B3A2E"/>
          <w:sz w:val="22"/>
        </w:rPr>
        <w:t xml:space="preserve">Why it matters.  </w:t>
      </w:r>
      <w:r>
        <w:rPr>
          <w:rFonts w:ascii="Georgia" w:hAnsi="Georgia"/>
          <w:b w:val="0"/>
          <w:i w:val="0"/>
          <w:color w:val="3B2F24"/>
          <w:sz w:val="22"/>
        </w:rPr>
        <w:t>the calibration target methodology. If you ever fit your scheduler against real Eversource event timelines, this paper's evaluation framework (statistical durations vs observed) is what you'll follow.</w:t>
      </w:r>
    </w:p>
    <w:p>
      <w:r>
        <w:rPr>
          <w:rFonts w:ascii="Georgia" w:hAnsi="Georgia"/>
          <w:b/>
          <w:i w:val="0"/>
          <w:color w:val="8B3A2E"/>
          <w:sz w:val="22"/>
        </w:rPr>
        <w:t xml:space="preserve">What it does.  </w:t>
      </w:r>
      <w:r>
        <w:rPr>
          <w:rFonts w:ascii="Georgia" w:hAnsi="Georgia"/>
          <w:b w:val="0"/>
          <w:i w:val="0"/>
          <w:color w:val="3B2F24"/>
          <w:sz w:val="22"/>
        </w:rPr>
        <w:t>benchmarks several statistical models (Cox proportional hazards, accelerated failure time, etc.) for predicting how long restoration will take after a hurricane, validated against utility data.</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Cox proportional hazards · accelerated failure time (AFT) · survival analysis · outage duration · hurricane impact · cross-validation · model comparison · MAPE / RMSE</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CCFBF1"/>
            <w:tcBorders>
              <w:top w:val="single" w:sz="4" w:color="C9B894"/>
              <w:left w:val="single" w:sz="4" w:color="C9B894"/>
              <w:bottom w:val="single" w:sz="4" w:color="C9B894"/>
              <w:right w:val="single" w:sz="4" w:color="C9B894"/>
            </w:tcBorders>
          </w:tcPr>
          <w:p>
            <w:r>
              <w:rPr>
                <w:rFonts w:ascii="Georgia" w:hAnsi="Georgia"/>
                <w:b/>
                <w:i w:val="0"/>
                <w:color w:val="3B2F24"/>
                <w:sz w:val="22"/>
              </w:rPr>
              <w:t>Han, S-R., Guikema, S. D., Quiring, S. M., Lee, D-Y., Rosowsky, D., Davidson, R. A. (2009). Estimating the Spatial Distribution of Power Outages during Hurricanes in the Gulf Coast Region. Reliability Engineering &amp; System Safety 94(2), 199–210.</w:t>
            </w:r>
          </w:p>
        </w:tc>
      </w:tr>
    </w:tbl>
    <w:p>
      <w:r>
        <w:rPr>
          <w:rFonts w:ascii="Georgia" w:hAnsi="Georgia"/>
          <w:b/>
          <w:i w:val="0"/>
          <w:color w:val="8B3A2E"/>
          <w:sz w:val="22"/>
        </w:rPr>
        <w:t xml:space="preserve">Why it matters.  </w:t>
      </w:r>
      <w:r>
        <w:rPr>
          <w:rFonts w:ascii="Georgia" w:hAnsi="Georgia"/>
          <w:b w:val="0"/>
          <w:i w:val="0"/>
          <w:color w:val="3B2F24"/>
          <w:sz w:val="22"/>
        </w:rPr>
        <w:t>spatial outage prediction. If you want to make your storm model less synthetic — driving outage locations from weather forecasts rather than uniform random sampling — this is the template.</w:t>
      </w:r>
    </w:p>
    <w:p>
      <w:r>
        <w:rPr>
          <w:rFonts w:ascii="Georgia" w:hAnsi="Georgia"/>
          <w:b/>
          <w:i w:val="0"/>
          <w:color w:val="8B3A2E"/>
          <w:sz w:val="22"/>
        </w:rPr>
        <w:t xml:space="preserve">What it does.  </w:t>
      </w:r>
      <w:r>
        <w:rPr>
          <w:rFonts w:ascii="Georgia" w:hAnsi="Georgia"/>
          <w:b w:val="0"/>
          <w:i w:val="0"/>
          <w:color w:val="3B2F24"/>
          <w:sz w:val="22"/>
        </w:rPr>
        <w:t>spatial generalized linear mixed model for predicting where, geographically, outages will occur during a hurricane. Inputs include wind speed, soil moisture, tree cover; outputs are spatially explicit outage probabilities.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generalised linear mixed model (GLMM) · spatial regression · wind speed · soil moisture · tree canopy cover · outage density · spatially explicit prediction · grid cell aggregation</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CCFBF1"/>
            <w:tcBorders>
              <w:top w:val="single" w:sz="4" w:color="C9B894"/>
              <w:left w:val="single" w:sz="4" w:color="C9B894"/>
              <w:bottom w:val="single" w:sz="4" w:color="C9B894"/>
              <w:right w:val="single" w:sz="4" w:color="C9B894"/>
            </w:tcBorders>
          </w:tcPr>
          <w:p>
            <w:r>
              <w:rPr>
                <w:rFonts w:ascii="Georgia" w:hAnsi="Georgia"/>
                <w:b/>
                <w:i w:val="0"/>
                <w:color w:val="3B2F24"/>
                <w:sz w:val="22"/>
              </w:rPr>
              <w:t>Liu, H., Davidson, R. A., Apanasovich, T. V. (2007). Statistical Forecasting of Electric Power Restoration Times in Hurricanes and Ice Storms. IEEE Transactions on Power Systems 22(4), 2270–2279.</w:t>
            </w:r>
          </w:p>
        </w:tc>
      </w:tr>
    </w:tbl>
    <w:p>
      <w:r>
        <w:rPr>
          <w:rFonts w:ascii="Georgia" w:hAnsi="Georgia"/>
          <w:b/>
          <w:i w:val="0"/>
          <w:color w:val="8B3A2E"/>
          <w:sz w:val="22"/>
        </w:rPr>
        <w:t xml:space="preserve">Why it matters.  </w:t>
      </w:r>
      <w:r>
        <w:rPr>
          <w:rFonts w:ascii="Georgia" w:hAnsi="Georgia"/>
          <w:b w:val="0"/>
          <w:i w:val="0"/>
          <w:color w:val="3B2F24"/>
          <w:sz w:val="22"/>
        </w:rPr>
        <w:t>a direct predecessor of the Nateghi line, focused on restoration time forecasting (not just outage counts). Useful for situating the calibration phase.</w:t>
      </w:r>
    </w:p>
    <w:p>
      <w:r>
        <w:rPr>
          <w:rFonts w:ascii="Georgia" w:hAnsi="Georgia"/>
          <w:b/>
          <w:i w:val="0"/>
          <w:color w:val="8B3A2E"/>
          <w:sz w:val="22"/>
        </w:rPr>
        <w:t xml:space="preserve">What it does.  </w:t>
      </w:r>
      <w:r>
        <w:rPr>
          <w:rFonts w:ascii="Georgia" w:hAnsi="Georgia"/>
          <w:b w:val="0"/>
          <w:i w:val="0"/>
          <w:color w:val="3B2F24"/>
          <w:sz w:val="22"/>
        </w:rPr>
        <w:t>regression-based forecasts of restoration completion times given storm intensity and grid attributes; evaluated on Carolinas hurricane and ice storm data.</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restoration time forecasting · negative binomial regression · ice storm · hurricane · storm intensity index · customer-restored curve · service territory · forecast horizon</w:t>
            </w:r>
          </w:p>
        </w:tc>
      </w:tr>
    </w:tbl>
    <w:p>
      <w:r>
        <w:rPr>
          <w:rFonts w:ascii="Georgia" w:hAnsi="Georgia"/>
          <w:b w:val="0"/>
          <w:i w:val="0"/>
          <w:color w:val="3B2F24"/>
          <w:sz w:val="22"/>
        </w:rPr>
      </w:r>
    </w:p>
    <w:p>
      <w:r>
        <w:rPr>
          <w:rFonts w:ascii="Georgia" w:hAnsi="Georgia"/>
          <w:b/>
          <w:i w:val="0"/>
          <w:color w:val="8B3A2E"/>
          <w:sz w:val="30"/>
        </w:rPr>
        <w:t>Synthetic Grid Generation</w:t>
      </w:r>
    </w:p>
    <w:tbl>
      <w:tblPr>
        <w:tblW w:type="auto" w:w="0"/>
        <w:tblLook w:firstColumn="1" w:firstRow="1" w:lastColumn="0" w:lastRow="0" w:noHBand="0" w:noVBand="1" w:val="04A0"/>
      </w:tblPr>
      <w:tblGrid>
        <w:gridCol w:w="9648"/>
      </w:tblGrid>
      <w:tr>
        <w:tc>
          <w:tcPr>
            <w:tcW w:type="dxa" w:w="9216"/>
            <w:shd w:val="clear" w:color="auto" w:fill="FEF3C7"/>
            <w:tcBorders>
              <w:top w:val="single" w:sz="4" w:color="C9B894"/>
              <w:left w:val="single" w:sz="4" w:color="C9B894"/>
              <w:bottom w:val="single" w:sz="4" w:color="C9B894"/>
              <w:right w:val="single" w:sz="4" w:color="C9B894"/>
            </w:tcBorders>
          </w:tcPr>
          <w:p>
            <w:r>
              <w:rPr>
                <w:rFonts w:ascii="Georgia" w:hAnsi="Georgia"/>
                <w:b/>
                <w:i w:val="0"/>
                <w:color w:val="3B2F24"/>
                <w:sz w:val="22"/>
              </w:rPr>
              <w:t>Birchfield, A. B., Xu, T., Gegner, K. M., Shetye, K. S., Overbye, T. J. (2017). Grid Structural Characteristics as Validation Criteria for Synthetic Networks. IEEE Transactions on Power Systems 32(4), 3258–3265.</w:t>
            </w:r>
          </w:p>
        </w:tc>
      </w:tr>
    </w:tbl>
    <w:p>
      <w:r>
        <w:rPr>
          <w:rFonts w:ascii="Georgia" w:hAnsi="Georgia"/>
          <w:b/>
          <w:i w:val="0"/>
          <w:color w:val="8B3A2E"/>
          <w:sz w:val="22"/>
        </w:rPr>
        <w:t xml:space="preserve">Why it matters.  </w:t>
      </w:r>
      <w:r>
        <w:rPr>
          <w:rFonts w:ascii="Georgia" w:hAnsi="Georgia"/>
          <w:b w:val="0"/>
          <w:i w:val="0"/>
          <w:color w:val="3B2F24"/>
          <w:sz w:val="22"/>
        </w:rPr>
        <w:t>the canonical Texas A&amp;M synthetic-grid paper. Methods (k-means clustering, demand allocation, topology validation) directly informed your distribution-level approach even though the paper itself targets transmission.</w:t>
      </w:r>
    </w:p>
    <w:p>
      <w:r>
        <w:rPr>
          <w:rFonts w:ascii="Georgia" w:hAnsi="Georgia"/>
          <w:b/>
          <w:i w:val="0"/>
          <w:color w:val="8B3A2E"/>
          <w:sz w:val="22"/>
        </w:rPr>
        <w:t xml:space="preserve">What it does.  </w:t>
      </w:r>
      <w:r>
        <w:rPr>
          <w:rFonts w:ascii="Georgia" w:hAnsi="Georgia"/>
          <w:b w:val="0"/>
          <w:i w:val="0"/>
          <w:color w:val="3B2F24"/>
          <w:sz w:val="22"/>
        </w:rPr>
        <w:t>develops statistical criteria (degree distribution, line lengths, generator-load distance) for judging whether a synthetic grid behaves like a real one, then uses those criteria to validate the Texas A&amp;M transmission test cases used widely in the literature.</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synthetic transmission network · k-means clustering · degree distribution · line length distribution · graph topology · validation criteria · ACTIVSg test cases · generator-load proximity</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FEF3C7"/>
            <w:tcBorders>
              <w:top w:val="single" w:sz="4" w:color="C9B894"/>
              <w:left w:val="single" w:sz="4" w:color="C9B894"/>
              <w:bottom w:val="single" w:sz="4" w:color="C9B894"/>
              <w:right w:val="single" w:sz="4" w:color="C9B894"/>
            </w:tcBorders>
          </w:tcPr>
          <w:p>
            <w:r>
              <w:rPr>
                <w:rFonts w:ascii="Georgia" w:hAnsi="Georgia"/>
                <w:b/>
                <w:i w:val="0"/>
                <w:color w:val="3B2F24"/>
                <w:sz w:val="22"/>
              </w:rPr>
              <w:t>Kersting, W. H. (2001/2018). Distribution System Modeling and Analysis. CRC Press (textbook).</w:t>
            </w:r>
          </w:p>
        </w:tc>
      </w:tr>
    </w:tbl>
    <w:p>
      <w:r>
        <w:rPr>
          <w:rFonts w:ascii="Georgia" w:hAnsi="Georgia"/>
          <w:b/>
          <w:i w:val="0"/>
          <w:color w:val="8B3A2E"/>
          <w:sz w:val="22"/>
        </w:rPr>
        <w:t xml:space="preserve">Why it matters.  </w:t>
      </w:r>
      <w:r>
        <w:rPr>
          <w:rFonts w:ascii="Georgia" w:hAnsi="Georgia"/>
          <w:b w:val="0"/>
          <w:i w:val="0"/>
          <w:color w:val="3B2F24"/>
          <w:sz w:val="22"/>
        </w:rPr>
        <w:t>the standard reference for IEEE PES distribution test feeders (13-node, 34-node, 123-node). If you ever want a hand-curated ground-truth feeder topology to validate your synthetic generator against, this is the source.</w:t>
      </w:r>
    </w:p>
    <w:p>
      <w:r>
        <w:rPr>
          <w:rFonts w:ascii="Georgia" w:hAnsi="Georgia"/>
          <w:b/>
          <w:i w:val="0"/>
          <w:color w:val="8B3A2E"/>
          <w:sz w:val="22"/>
        </w:rPr>
        <w:t xml:space="preserve">What it does.  </w:t>
      </w:r>
      <w:r>
        <w:rPr>
          <w:rFonts w:ascii="Georgia" w:hAnsi="Georgia"/>
          <w:b w:val="0"/>
          <w:i w:val="0"/>
          <w:color w:val="3B2F24"/>
          <w:sz w:val="22"/>
        </w:rPr>
        <w:t>textbook covering radial distribution analysis methods plus the standard IEEE PES test feeder dataset definitions.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radial distribution feeder · IEEE 13/34/123-node test feeder · three-phase modelling · ladder iterative method · per-unit system · backbone vs lateral · service transformer · load model</w:t>
            </w:r>
          </w:p>
        </w:tc>
      </w:tr>
    </w:tbl>
    <w:p>
      <w:r>
        <w:rPr>
          <w:rFonts w:ascii="Georgia" w:hAnsi="Georgia"/>
          <w:b w:val="0"/>
          <w:i w:val="0"/>
          <w:color w:val="3B2F24"/>
          <w:sz w:val="22"/>
        </w:rPr>
      </w:r>
    </w:p>
    <w:p>
      <w:r>
        <w:rPr>
          <w:rFonts w:ascii="Georgia" w:hAnsi="Georgia"/>
          <w:b/>
          <w:i w:val="0"/>
          <w:color w:val="8B3A2E"/>
          <w:sz w:val="30"/>
        </w:rPr>
        <w:t>Crew Routing &amp; Vehicle Routing Variants</w:t>
      </w:r>
    </w:p>
    <w:tbl>
      <w:tblPr>
        <w:tblW w:type="auto" w:w="0"/>
        <w:tblLook w:firstColumn="1" w:firstRow="1" w:lastColumn="0" w:lastRow="0" w:noHBand="0" w:noVBand="1" w:val="04A0"/>
      </w:tblPr>
      <w:tblGrid>
        <w:gridCol w:w="9648"/>
      </w:tblGrid>
      <w:tr>
        <w:tc>
          <w:tcPr>
            <w:tcW w:type="dxa" w:w="9216"/>
            <w:shd w:val="clear" w:color="auto" w:fill="DCFCE7"/>
            <w:tcBorders>
              <w:top w:val="single" w:sz="4" w:color="C9B894"/>
              <w:left w:val="single" w:sz="4" w:color="C9B894"/>
              <w:bottom w:val="single" w:sz="4" w:color="C9B894"/>
              <w:right w:val="single" w:sz="4" w:color="C9B894"/>
            </w:tcBorders>
          </w:tcPr>
          <w:p>
            <w:r>
              <w:rPr>
                <w:rFonts w:ascii="Georgia" w:hAnsi="Georgia"/>
                <w:b/>
                <w:i w:val="0"/>
                <w:color w:val="3B2F24"/>
                <w:sz w:val="22"/>
              </w:rPr>
              <w:t>Toth, P., Vigo, D. (eds.) (2014). Vehicle Routing: Problems, Methods, and Applications (2nd edition). SIAM MOS-SIAM Series on Optimization.</w:t>
            </w:r>
          </w:p>
        </w:tc>
      </w:tr>
    </w:tbl>
    <w:p>
      <w:r>
        <w:rPr>
          <w:rFonts w:ascii="Georgia" w:hAnsi="Georgia"/>
          <w:b/>
          <w:i w:val="0"/>
          <w:color w:val="8B3A2E"/>
          <w:sz w:val="22"/>
        </w:rPr>
        <w:t xml:space="preserve">Why it matters.  </w:t>
      </w:r>
      <w:r>
        <w:rPr>
          <w:rFonts w:ascii="Georgia" w:hAnsi="Georgia"/>
          <w:b w:val="0"/>
          <w:i w:val="0"/>
          <w:color w:val="3B2F24"/>
          <w:sz w:val="22"/>
        </w:rPr>
        <w:t>the foundational reference for VRP variants. Your crew dispatch is structurally a multi-vehicle VRP with time-dependent service (discovery delays) and stochastic service times (repair durations). Citing this places your work in the right algorithmic family.</w:t>
      </w:r>
    </w:p>
    <w:p>
      <w:r>
        <w:rPr>
          <w:rFonts w:ascii="Georgia" w:hAnsi="Georgia"/>
          <w:b/>
          <w:i w:val="0"/>
          <w:color w:val="8B3A2E"/>
          <w:sz w:val="22"/>
        </w:rPr>
        <w:t xml:space="preserve">What it does.  </w:t>
      </w:r>
      <w:r>
        <w:rPr>
          <w:rFonts w:ascii="Georgia" w:hAnsi="Georgia"/>
          <w:b w:val="0"/>
          <w:i w:val="0"/>
          <w:color w:val="3B2F24"/>
          <w:sz w:val="22"/>
        </w:rPr>
        <w:t>comprehensive textbook chapters on VRP variants (time windows, stochastic demands, dynamic VRP, multi-depot) and the exact / heuristic / metaheuristic methods used to solve them.</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Vehicle Routing Problem (VRP) · VRP with time windows (VRPTW) · stochastic VRP · multi-depot VRP · branch-and-cut · column generation · savings algorithm · large neighbourhood search</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DCFCE7"/>
            <w:tcBorders>
              <w:top w:val="single" w:sz="4" w:color="C9B894"/>
              <w:left w:val="single" w:sz="4" w:color="C9B894"/>
              <w:bottom w:val="single" w:sz="4" w:color="C9B894"/>
              <w:right w:val="single" w:sz="4" w:color="C9B894"/>
            </w:tcBorders>
          </w:tcPr>
          <w:p>
            <w:r>
              <w:rPr>
                <w:rFonts w:ascii="Georgia" w:hAnsi="Georgia"/>
                <w:b/>
                <w:i w:val="0"/>
                <w:color w:val="3B2F24"/>
                <w:sz w:val="22"/>
              </w:rPr>
              <w:t>Solomon, M. M. (1987). Algorithms for the Vehicle Routing and Scheduling Problems with Time Window Constraints. Operations Research 35(2), 254–265.</w:t>
            </w:r>
          </w:p>
        </w:tc>
      </w:tr>
    </w:tbl>
    <w:p>
      <w:r>
        <w:rPr>
          <w:rFonts w:ascii="Georgia" w:hAnsi="Georgia"/>
          <w:b/>
          <w:i w:val="0"/>
          <w:color w:val="8B3A2E"/>
          <w:sz w:val="22"/>
        </w:rPr>
        <w:t xml:space="preserve">Why it matters.  </w:t>
      </w:r>
      <w:r>
        <w:rPr>
          <w:rFonts w:ascii="Georgia" w:hAnsi="Georgia"/>
          <w:b w:val="0"/>
          <w:i w:val="0"/>
          <w:color w:val="3B2F24"/>
          <w:sz w:val="22"/>
        </w:rPr>
        <w:t>the canonical VRPTW benchmark instances are the de facto standard test set. If you ever compare your greedy on a synthetic benchmark against published MILP / metaheuristic results, this is where the instances come from.</w:t>
      </w:r>
    </w:p>
    <w:p>
      <w:r>
        <w:rPr>
          <w:rFonts w:ascii="Georgia" w:hAnsi="Georgia"/>
          <w:b/>
          <w:i w:val="0"/>
          <w:color w:val="8B3A2E"/>
          <w:sz w:val="22"/>
        </w:rPr>
        <w:t xml:space="preserve">What it does.  </w:t>
      </w:r>
      <w:r>
        <w:rPr>
          <w:rFonts w:ascii="Georgia" w:hAnsi="Georgia"/>
          <w:b w:val="0"/>
          <w:i w:val="0"/>
          <w:color w:val="3B2F24"/>
          <w:sz w:val="22"/>
        </w:rPr>
        <w:t>introduces VRPTW benchmark instances (the 'Solomon benchmarks') plus several construction and improvement heuristics.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Solomon benchmarks · VRPTW · time windows · insertion heuristic · savings algorithm · construction heuristic · improvement heuristic · feasibility check</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DCFCE7"/>
            <w:tcBorders>
              <w:top w:val="single" w:sz="4" w:color="C9B894"/>
              <w:left w:val="single" w:sz="4" w:color="C9B894"/>
              <w:bottom w:val="single" w:sz="4" w:color="C9B894"/>
              <w:right w:val="single" w:sz="4" w:color="C9B894"/>
            </w:tcBorders>
          </w:tcPr>
          <w:p>
            <w:r>
              <w:rPr>
                <w:rFonts w:ascii="Georgia" w:hAnsi="Georgia"/>
                <w:b/>
                <w:i w:val="0"/>
                <w:color w:val="3B2F24"/>
                <w:sz w:val="22"/>
              </w:rPr>
              <w:t>Perrier, N., Langevin, A., Campbell, J. F. (2007). A Survey of Models and Algorithms for Winter Road Maintenance. Part IV: Vehicle Routing and Depot Location for Spreading. Computers &amp; Operations Research 34(1), 258–294.</w:t>
            </w:r>
          </w:p>
        </w:tc>
      </w:tr>
    </w:tbl>
    <w:p>
      <w:r>
        <w:rPr>
          <w:rFonts w:ascii="Georgia" w:hAnsi="Georgia"/>
          <w:b/>
          <w:i w:val="0"/>
          <w:color w:val="8B3A2E"/>
          <w:sz w:val="22"/>
        </w:rPr>
        <w:t xml:space="preserve">Why it matters.  </w:t>
      </w:r>
      <w:r>
        <w:rPr>
          <w:rFonts w:ascii="Georgia" w:hAnsi="Georgia"/>
          <w:b w:val="0"/>
          <w:i w:val="0"/>
          <w:color w:val="3B2F24"/>
          <w:sz w:val="22"/>
        </w:rPr>
        <w:t>snowplow routing is the canonical 'crews dispatched after disruption' problem. Methodologically the closest analogue to power restoration outside the power-engineering literature.</w:t>
      </w:r>
    </w:p>
    <w:p>
      <w:r>
        <w:rPr>
          <w:rFonts w:ascii="Georgia" w:hAnsi="Georgia"/>
          <w:b/>
          <w:i w:val="0"/>
          <w:color w:val="8B3A2E"/>
          <w:sz w:val="22"/>
        </w:rPr>
        <w:t xml:space="preserve">What it does.  </w:t>
      </w:r>
      <w:r>
        <w:rPr>
          <w:rFonts w:ascii="Georgia" w:hAnsi="Georgia"/>
          <w:b w:val="0"/>
          <w:i w:val="0"/>
          <w:color w:val="3B2F24"/>
          <w:sz w:val="22"/>
        </w:rPr>
        <w:t>surveys VRP variants tailored to winter road maintenance with time-critical service, route-density constraints, and depot placement — all of which have direct analogues in crew-restoration dispatch.</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winter road maintenance · snowplow routing · Chinese postman problem · arc routing · depot location · time-critical service · multi-period routing · fleet sizing</w:t>
            </w:r>
          </w:p>
        </w:tc>
      </w:tr>
    </w:tbl>
    <w:p>
      <w:r>
        <w:rPr>
          <w:rFonts w:ascii="Georgia" w:hAnsi="Georgia"/>
          <w:b w:val="0"/>
          <w:i w:val="0"/>
          <w:color w:val="3B2F24"/>
          <w:sz w:val="22"/>
        </w:rPr>
      </w:r>
    </w:p>
    <w:p>
      <w:r>
        <w:rPr>
          <w:rFonts w:ascii="Georgia" w:hAnsi="Georgia"/>
          <w:b/>
          <w:i w:val="0"/>
          <w:color w:val="8B3A2E"/>
          <w:sz w:val="30"/>
        </w:rPr>
        <w:t>Resilience Metrics &amp; Frameworks</w:t>
      </w:r>
    </w:p>
    <w:tbl>
      <w:tblPr>
        <w:tblW w:type="auto" w:w="0"/>
        <w:tblLook w:firstColumn="1" w:firstRow="1" w:lastColumn="0" w:lastRow="0" w:noHBand="0" w:noVBand="1" w:val="04A0"/>
      </w:tblPr>
      <w:tblGrid>
        <w:gridCol w:w="9648"/>
      </w:tblGrid>
      <w:tr>
        <w:tc>
          <w:tcPr>
            <w:tcW w:type="dxa" w:w="9216"/>
            <w:shd w:val="clear" w:color="auto" w:fill="FEE2D5"/>
            <w:tcBorders>
              <w:top w:val="single" w:sz="4" w:color="C9B894"/>
              <w:left w:val="single" w:sz="4" w:color="C9B894"/>
              <w:bottom w:val="single" w:sz="4" w:color="C9B894"/>
              <w:right w:val="single" w:sz="4" w:color="C9B894"/>
            </w:tcBorders>
          </w:tcPr>
          <w:p>
            <w:r>
              <w:rPr>
                <w:rFonts w:ascii="Georgia" w:hAnsi="Georgia"/>
                <w:b/>
                <w:i w:val="0"/>
                <w:color w:val="3B2F24"/>
                <w:sz w:val="22"/>
              </w:rPr>
              <w:t>Panteli, M., Mancarella, P. (2015). The Grid: Stronger, Bigger, Smarter?: Presenting a Conceptual Framework of Power System Resilience. IEEE Power and Energy Magazine 13(3), 58–66.</w:t>
            </w:r>
          </w:p>
        </w:tc>
      </w:tr>
    </w:tbl>
    <w:p>
      <w:r>
        <w:rPr>
          <w:rFonts w:ascii="Georgia" w:hAnsi="Georgia"/>
          <w:b/>
          <w:i w:val="0"/>
          <w:color w:val="8B3A2E"/>
          <w:sz w:val="22"/>
        </w:rPr>
        <w:t xml:space="preserve">Why it matters.  </w:t>
      </w:r>
      <w:r>
        <w:rPr>
          <w:rFonts w:ascii="Georgia" w:hAnsi="Georgia"/>
          <w:b w:val="0"/>
          <w:i w:val="0"/>
          <w:color w:val="3B2F24"/>
          <w:sz w:val="22"/>
        </w:rPr>
        <w:t>defines the widely cited 'resilience trapezoid' — the before/during/after-disturbance performance curve. This is the figure shape your simulation's customer-minutes-without-service output naturally produces, so framing your output in this language helps a paper introduction.</w:t>
      </w:r>
    </w:p>
    <w:p>
      <w:r>
        <w:rPr>
          <w:rFonts w:ascii="Georgia" w:hAnsi="Georgia"/>
          <w:b/>
          <w:i w:val="0"/>
          <w:color w:val="8B3A2E"/>
          <w:sz w:val="22"/>
        </w:rPr>
        <w:t xml:space="preserve">What it does.  </w:t>
      </w:r>
      <w:r>
        <w:rPr>
          <w:rFonts w:ascii="Georgia" w:hAnsi="Georgia"/>
          <w:b w:val="0"/>
          <w:i w:val="0"/>
          <w:color w:val="3B2F24"/>
          <w:sz w:val="22"/>
        </w:rPr>
        <w:t>introduces a conceptual framework distinguishing reliability (steady-state) from resilience (under disturbance), with metrics for each phase of the trapezoid.</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resilience trapezoid · reliability vs resilience · disturbance phase · post-event recovery · hardening · operational resilience · performance function F(t) · system performance metric</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FEE2D5"/>
            <w:tcBorders>
              <w:top w:val="single" w:sz="4" w:color="C9B894"/>
              <w:left w:val="single" w:sz="4" w:color="C9B894"/>
              <w:bottom w:val="single" w:sz="4" w:color="C9B894"/>
              <w:right w:val="single" w:sz="4" w:color="C9B894"/>
            </w:tcBorders>
          </w:tcPr>
          <w:p>
            <w:r>
              <w:rPr>
                <w:rFonts w:ascii="Georgia" w:hAnsi="Georgia"/>
                <w:b/>
                <w:i w:val="0"/>
                <w:color w:val="3B2F24"/>
                <w:sz w:val="22"/>
              </w:rPr>
              <w:t>Panteli, M., Mancarella, P. (2015). Influence of Extreme Weather and Climate Change on the Resilience of Power Systems: Impacts and Possible Mitigation Strategies. Electric Power Systems Research 127, 259–270.</w:t>
            </w:r>
          </w:p>
        </w:tc>
      </w:tr>
    </w:tbl>
    <w:p>
      <w:r>
        <w:rPr>
          <w:rFonts w:ascii="Georgia" w:hAnsi="Georgia"/>
          <w:b/>
          <w:i w:val="0"/>
          <w:color w:val="8B3A2E"/>
          <w:sz w:val="22"/>
        </w:rPr>
        <w:t xml:space="preserve">Why it matters.  </w:t>
      </w:r>
      <w:r>
        <w:rPr>
          <w:rFonts w:ascii="Georgia" w:hAnsi="Georgia"/>
          <w:b w:val="0"/>
          <w:i w:val="0"/>
          <w:color w:val="3B2F24"/>
          <w:sz w:val="22"/>
        </w:rPr>
        <w:t>directly relevant to motivating Connecticut storm-resilience work in your introduction. Establishes the climate-change connection.</w:t>
      </w:r>
    </w:p>
    <w:p>
      <w:r>
        <w:rPr>
          <w:rFonts w:ascii="Georgia" w:hAnsi="Georgia"/>
          <w:b/>
          <w:i w:val="0"/>
          <w:color w:val="8B3A2E"/>
          <w:sz w:val="22"/>
        </w:rPr>
        <w:t xml:space="preserve">What it does.  </w:t>
      </w:r>
      <w:r>
        <w:rPr>
          <w:rFonts w:ascii="Georgia" w:hAnsi="Georgia"/>
          <w:b w:val="0"/>
          <w:i w:val="0"/>
          <w:color w:val="3B2F24"/>
          <w:sz w:val="22"/>
        </w:rPr>
        <w:t>reviews extreme-weather impacts on power systems and surveys hardening / restoration mitigation strategies.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extreme weather · climate change · hardening strategy · undergrounding · vegetation management · mitigation · high-impact low-probability (HILP) events · adaptation</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FEE2D5"/>
            <w:tcBorders>
              <w:top w:val="single" w:sz="4" w:color="C9B894"/>
              <w:left w:val="single" w:sz="4" w:color="C9B894"/>
              <w:bottom w:val="single" w:sz="4" w:color="C9B894"/>
              <w:right w:val="single" w:sz="4" w:color="C9B894"/>
            </w:tcBorders>
          </w:tcPr>
          <w:p>
            <w:r>
              <w:rPr>
                <w:rFonts w:ascii="Georgia" w:hAnsi="Georgia"/>
                <w:b/>
                <w:i w:val="0"/>
                <w:color w:val="3B2F24"/>
                <w:sz w:val="22"/>
              </w:rPr>
              <w:t>Bie, Z., Lin, Y., Li, G., Li, F. (2017). Battling the Extreme: A Study on the Power System Resilience. Proceedings of the IEEE 105(7), 1253–1266.</w:t>
            </w:r>
          </w:p>
        </w:tc>
      </w:tr>
    </w:tbl>
    <w:p>
      <w:r>
        <w:rPr>
          <w:rFonts w:ascii="Georgia" w:hAnsi="Georgia"/>
          <w:b/>
          <w:i w:val="0"/>
          <w:color w:val="8B3A2E"/>
          <w:sz w:val="22"/>
        </w:rPr>
        <w:t xml:space="preserve">Why it matters.  </w:t>
      </w:r>
      <w:r>
        <w:rPr>
          <w:rFonts w:ascii="Georgia" w:hAnsi="Georgia"/>
          <w:b w:val="0"/>
          <w:i w:val="0"/>
          <w:color w:val="3B2F24"/>
          <w:sz w:val="22"/>
        </w:rPr>
        <w:t>a recent (relatively) survey of resilience in distribution systems including microgrid islanding. Good for the literature-review section of any paper.</w:t>
      </w:r>
    </w:p>
    <w:p>
      <w:r>
        <w:rPr>
          <w:rFonts w:ascii="Georgia" w:hAnsi="Georgia"/>
          <w:b/>
          <w:i w:val="0"/>
          <w:color w:val="8B3A2E"/>
          <w:sz w:val="22"/>
        </w:rPr>
        <w:t xml:space="preserve">What it does.  </w:t>
      </w:r>
      <w:r>
        <w:rPr>
          <w:rFonts w:ascii="Georgia" w:hAnsi="Georgia"/>
          <w:b w:val="0"/>
          <w:i w:val="0"/>
          <w:color w:val="3B2F24"/>
          <w:sz w:val="22"/>
        </w:rPr>
        <w:t>survey article covering resilience metrics, modelling approaches, hardening strategies, and the role of distributed energy resources.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distribution-system resilience · microgrid · distributed energy resources (DER) · islanding · resilience index · self-healing grid · sectionalising switch · proactive operation</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FEE2D5"/>
            <w:tcBorders>
              <w:top w:val="single" w:sz="4" w:color="C9B894"/>
              <w:left w:val="single" w:sz="4" w:color="C9B894"/>
              <w:bottom w:val="single" w:sz="4" w:color="C9B894"/>
              <w:right w:val="single" w:sz="4" w:color="C9B894"/>
            </w:tcBorders>
          </w:tcPr>
          <w:p>
            <w:r>
              <w:rPr>
                <w:rFonts w:ascii="Georgia" w:hAnsi="Georgia"/>
                <w:b/>
                <w:i w:val="0"/>
                <w:color w:val="3B2F24"/>
                <w:sz w:val="22"/>
              </w:rPr>
              <w:t>National Academies of Sciences, Engineering, and Medicine (2017). Enhancing the Resilience of the Nation's Electricity System. Washington, DC: The National Academies Press.</w:t>
            </w:r>
          </w:p>
        </w:tc>
      </w:tr>
    </w:tbl>
    <w:p>
      <w:r>
        <w:rPr>
          <w:rFonts w:ascii="Georgia" w:hAnsi="Georgia"/>
          <w:b/>
          <w:i w:val="0"/>
          <w:color w:val="8B3A2E"/>
          <w:sz w:val="22"/>
        </w:rPr>
        <w:t xml:space="preserve">Why it matters.  </w:t>
      </w:r>
      <w:r>
        <w:rPr>
          <w:rFonts w:ascii="Georgia" w:hAnsi="Georgia"/>
          <w:b w:val="0"/>
          <w:i w:val="0"/>
          <w:color w:val="3B2F24"/>
          <w:sz w:val="22"/>
        </w:rPr>
        <w:t>the policy-context citation. Cite this in your introduction to establish that grid resilience is a recognised national-priority research area, not a niche academic interest.</w:t>
      </w:r>
    </w:p>
    <w:p>
      <w:r>
        <w:rPr>
          <w:rFonts w:ascii="Georgia" w:hAnsi="Georgia"/>
          <w:b/>
          <w:i w:val="0"/>
          <w:color w:val="8B3A2E"/>
          <w:sz w:val="22"/>
        </w:rPr>
        <w:t xml:space="preserve">What it does.  </w:t>
      </w:r>
      <w:r>
        <w:rPr>
          <w:rFonts w:ascii="Georgia" w:hAnsi="Georgia"/>
          <w:b w:val="0"/>
          <w:i w:val="0"/>
          <w:color w:val="3B2F24"/>
          <w:sz w:val="22"/>
        </w:rPr>
        <w:t>National Academies consensus study laying out the research and policy agenda for U.S. electricity-system resilience. Open-access download.</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policy framework · research agenda · electricity system · national resilience · interdependent infrastructure · cyber-physical security · federal R&amp;D · consensus study</w:t>
            </w:r>
          </w:p>
        </w:tc>
      </w:tr>
    </w:tbl>
    <w:p>
      <w:r>
        <w:rPr>
          <w:rFonts w:ascii="Georgia" w:hAnsi="Georgia"/>
          <w:b w:val="0"/>
          <w:i w:val="0"/>
          <w:color w:val="3B2F24"/>
          <w:sz w:val="22"/>
        </w:rPr>
      </w:r>
    </w:p>
    <w:p>
      <w:r>
        <w:rPr>
          <w:rFonts w:ascii="Georgia" w:hAnsi="Georgia"/>
          <w:b/>
          <w:i w:val="0"/>
          <w:color w:val="8B3A2E"/>
          <w:sz w:val="30"/>
        </w:rPr>
        <w:t>Interactive &amp; Browser-Based Visualization</w:t>
      </w:r>
    </w:p>
    <w:tbl>
      <w:tblPr>
        <w:tblW w:type="auto" w:w="0"/>
        <w:tblLook w:firstColumn="1" w:firstRow="1" w:lastColumn="0" w:lastRow="0" w:noHBand="0" w:noVBand="1" w:val="04A0"/>
      </w:tblPr>
      <w:tblGrid>
        <w:gridCol w:w="9648"/>
      </w:tblGrid>
      <w:tr>
        <w:tc>
          <w:tcPr>
            <w:tcW w:type="dxa" w:w="9216"/>
            <w:shd w:val="clear" w:color="auto" w:fill="F3E8FF"/>
            <w:tcBorders>
              <w:top w:val="single" w:sz="4" w:color="C9B894"/>
              <w:left w:val="single" w:sz="4" w:color="C9B894"/>
              <w:bottom w:val="single" w:sz="4" w:color="C9B894"/>
              <w:right w:val="single" w:sz="4" w:color="C9B894"/>
            </w:tcBorders>
          </w:tcPr>
          <w:p>
            <w:r>
              <w:rPr>
                <w:rFonts w:ascii="Georgia" w:hAnsi="Georgia"/>
                <w:b/>
                <w:i w:val="0"/>
                <w:color w:val="3B2F24"/>
                <w:sz w:val="22"/>
              </w:rPr>
              <w:t>Overbye, T. J., Wiegmann, D. A., Rich, A. M., Sun, Y. (2003). Human Factors Aspects of Power System Voltage Contour Visualization. IEEE Transactions on Power Systems 18(1), 76–82.</w:t>
            </w:r>
          </w:p>
        </w:tc>
      </w:tr>
    </w:tbl>
    <w:p>
      <w:r>
        <w:rPr>
          <w:rFonts w:ascii="Georgia" w:hAnsi="Georgia"/>
          <w:b/>
          <w:i w:val="0"/>
          <w:color w:val="8B3A2E"/>
          <w:sz w:val="22"/>
        </w:rPr>
        <w:t xml:space="preserve">Why it matters.  </w:t>
      </w:r>
      <w:r>
        <w:rPr>
          <w:rFonts w:ascii="Georgia" w:hAnsi="Georgia"/>
          <w:b w:val="0"/>
          <w:i w:val="0"/>
          <w:color w:val="3B2F24"/>
          <w:sz w:val="22"/>
        </w:rPr>
        <w:t>one of the few peer-reviewed papers on grid visualisation specifically. Cite as a methodological precedent if asked why visualisation is part of your contribution rather than just engineering polish.</w:t>
      </w:r>
    </w:p>
    <w:p>
      <w:r>
        <w:rPr>
          <w:rFonts w:ascii="Georgia" w:hAnsi="Georgia"/>
          <w:b/>
          <w:i w:val="0"/>
          <w:color w:val="8B3A2E"/>
          <w:sz w:val="22"/>
        </w:rPr>
        <w:t xml:space="preserve">What it does.  </w:t>
      </w:r>
      <w:r>
        <w:rPr>
          <w:rFonts w:ascii="Georgia" w:hAnsi="Georgia"/>
          <w:b w:val="0"/>
          <w:i w:val="0"/>
          <w:color w:val="3B2F24"/>
          <w:sz w:val="22"/>
        </w:rPr>
        <w:t>human-factors evaluation of contour-map visualisation of power-system voltages. Establishes that visualisation choices materially affect operator decisions.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human factors · situational awareness · voltage contour map · operator decision support · visualisation evaluation · cognitive load · energy management system (EMS) · control-room display</w:t>
            </w:r>
          </w:p>
        </w:tc>
      </w:tr>
    </w:tbl>
    <w:p>
      <w:r>
        <w:rPr>
          <w:rFonts w:ascii="Georgia" w:hAnsi="Georgia"/>
          <w:b w:val="0"/>
          <w:i w:val="0"/>
          <w:color w:val="3B2F24"/>
          <w:sz w:val="22"/>
        </w:rPr>
      </w:r>
    </w:p>
    <w:tbl>
      <w:tblPr>
        <w:tblW w:type="auto" w:w="0"/>
        <w:tblLook w:firstColumn="1" w:firstRow="1" w:lastColumn="0" w:lastRow="0" w:noHBand="0" w:noVBand="1" w:val="04A0"/>
      </w:tblPr>
      <w:tblGrid>
        <w:gridCol w:w="9648"/>
      </w:tblGrid>
      <w:tr>
        <w:tc>
          <w:tcPr>
            <w:tcW w:type="dxa" w:w="9216"/>
            <w:shd w:val="clear" w:color="auto" w:fill="F3E8FF"/>
            <w:tcBorders>
              <w:top w:val="single" w:sz="4" w:color="C9B894"/>
              <w:left w:val="single" w:sz="4" w:color="C9B894"/>
              <w:bottom w:val="single" w:sz="4" w:color="C9B894"/>
              <w:right w:val="single" w:sz="4" w:color="C9B894"/>
            </w:tcBorders>
          </w:tcPr>
          <w:p>
            <w:r>
              <w:rPr>
                <w:rFonts w:ascii="Georgia" w:hAnsi="Georgia"/>
                <w:b/>
                <w:i w:val="0"/>
                <w:color w:val="3B2F24"/>
                <w:sz w:val="22"/>
              </w:rPr>
              <w:t>Note on the broader gap</w:t>
            </w:r>
          </w:p>
        </w:tc>
      </w:tr>
    </w:tbl>
    <w:p>
      <w:r>
        <w:rPr>
          <w:rFonts w:ascii="Georgia" w:hAnsi="Georgia"/>
          <w:b/>
          <w:i w:val="0"/>
          <w:color w:val="8B3A2E"/>
          <w:sz w:val="22"/>
        </w:rPr>
        <w:t xml:space="preserve">Why it matters.  </w:t>
      </w:r>
      <w:r>
        <w:rPr>
          <w:rFonts w:ascii="Georgia" w:hAnsi="Georgia"/>
          <w:b w:val="0"/>
          <w:i w:val="0"/>
          <w:color w:val="3B2F24"/>
          <w:sz w:val="22"/>
        </w:rPr>
        <w:t>the academic literature on web-based / browser-first interactive grid simulation is sparse. Most decision-support tools are commercial (OSI Monarch, GE PowerOn) and proprietary; most open demos are toy-scale (≤100 nodes). The peer-reviewed gap is itself part of the case for your work occupying a distinctive niche.</w:t>
      </w:r>
    </w:p>
    <w:p>
      <w:r>
        <w:rPr>
          <w:rFonts w:ascii="Georgia" w:hAnsi="Georgia"/>
          <w:b/>
          <w:i w:val="0"/>
          <w:color w:val="8B3A2E"/>
          <w:sz w:val="22"/>
        </w:rPr>
        <w:t xml:space="preserve">What it does.  </w:t>
      </w:r>
      <w:r>
        <w:rPr>
          <w:rFonts w:ascii="Georgia" w:hAnsi="Georgia"/>
          <w:b w:val="0"/>
          <w:i w:val="0"/>
          <w:color w:val="3B2F24"/>
          <w:sz w:val="22"/>
        </w:rPr>
        <w:t>cite engineering precedents (Leaflet, D3.js) in methods, not literature; cite Overbye for the visualisation-matters point; build the rest of the niche argument around the access/scale/calibration gaps.</w:t>
      </w:r>
    </w:p>
    <w:tbl>
      <w:tblPr>
        <w:tblW w:type="auto" w:w="0"/>
        <w:tblLook w:firstColumn="1" w:firstRow="1" w:lastColumn="0" w:lastRow="0" w:noHBand="0" w:noVBand="1" w:val="04A0"/>
      </w:tblPr>
      <w:tblGrid>
        <w:gridCol w:w="9648"/>
      </w:tblGrid>
      <w:tr>
        <w:tc>
          <w:tcPr>
            <w:tcW w:type="dxa" w:w="9216"/>
            <w:shd w:val="clear" w:color="auto" w:fill="F0E5CB"/>
            <w:tcBorders>
              <w:top w:val="single" w:sz="4" w:color="C9B894"/>
              <w:left w:val="single" w:sz="4" w:color="C9B894"/>
              <w:bottom w:val="single" w:sz="4" w:color="C9B894"/>
              <w:right w:val="single" w:sz="4" w:color="C9B894"/>
            </w:tcBorders>
          </w:tcPr>
          <w:p>
            <w:r>
              <w:rPr>
                <w:rFonts w:ascii="Georgia" w:hAnsi="Georgia"/>
                <w:b/>
                <w:i w:val="0"/>
                <w:color w:val="8B3A2E"/>
                <w:sz w:val="20"/>
              </w:rPr>
              <w:t xml:space="preserve">Key terms.  </w:t>
            </w:r>
            <w:r>
              <w:rPr>
                <w:rFonts w:ascii="Georgia" w:hAnsi="Georgia"/>
                <w:b w:val="0"/>
                <w:i/>
                <w:color w:val="3B2F24"/>
                <w:sz w:val="20"/>
              </w:rPr>
              <w:t>outage management system (OMS) · decision-support tool · proprietary vs open-source · Leaflet · D3.js · interactive simulation · web-based GIS · literature gap</w:t>
            </w:r>
          </w:p>
        </w:tc>
      </w:tr>
    </w:tbl>
    <w:p>
      <w:r>
        <w:rPr>
          <w:rFonts w:ascii="Georgia" w:hAnsi="Georgia"/>
          <w:b w:val="0"/>
          <w:i w:val="0"/>
          <w:color w:val="3B2F24"/>
          <w:sz w:val="22"/>
        </w:rPr>
      </w:r>
    </w:p>
    <w:p>
      <w:r>
        <w:rPr>
          <w:rFonts w:ascii="Georgia" w:hAnsi="Georgia"/>
          <w:b w:val="0"/>
          <w:i w:val="0"/>
          <w:color w:val="3B2F24"/>
          <w:sz w:val="22"/>
        </w:rPr>
      </w:r>
    </w:p>
    <w:p>
      <w:r>
        <w:rPr>
          <w:rFonts w:ascii="Georgia" w:hAnsi="Georgia"/>
          <w:b/>
          <w:i w:val="0"/>
          <w:color w:val="8B3A2E"/>
          <w:sz w:val="30"/>
        </w:rPr>
        <w:t>Where Your Contribution Sits — A Sketch for the Introduction</w:t>
      </w:r>
    </w:p>
    <w:p>
      <w:r>
        <w:rPr>
          <w:rFonts w:ascii="Georgia" w:hAnsi="Georgia"/>
          <w:b w:val="0"/>
          <w:i w:val="0"/>
          <w:color w:val="3B2F24"/>
          <w:sz w:val="22"/>
        </w:rPr>
        <w:t>Restoration scheduling for distribution-system outages has a rich operations-research literature dominated by MILP and stochastic-programming formulations (Van Hentenryck, Arif et al., Watson et al.). In parallel, statistical outage-prediction work (Nateghi, Guikema, Quiring) has matured into utility-grade tools. Yet two gaps remain: (i) the decision-support pipeline between these two communities is largely proprietary, trapped inside commercial OMS platforms; and (ii) academic restoration models are rarely validated against the publicly available PURA storm-event filings that Connecticut utilities are required to produce.</w:t>
      </w:r>
    </w:p>
    <w:p>
      <w:r>
        <w:rPr>
          <w:rFonts w:ascii="Georgia" w:hAnsi="Georgia"/>
          <w:b w:val="0"/>
          <w:i w:val="0"/>
          <w:color w:val="3B2F24"/>
          <w:sz w:val="22"/>
        </w:rPr>
        <w:t>This work contributes a publicly accessible, browser-first interactive simulator for Hartford County and (by extension) the Connecticut service territory, with the engineering capacity to run 100 000-outage scenarios and Monte Carlo ensembles in tens of milliseconds. The simulator is positioned as the calibration substrate for future work matching synthetic restoration timelines against real Eversource event histories. The intended contribution is the integration — an accessible, scale-validated, calibratable tool — rather than a novel scheduling algorithm.</w:t>
      </w:r>
    </w:p>
    <w:p>
      <w:r>
        <w:rPr>
          <w:rFonts w:ascii="Georgia" w:hAnsi="Georgia"/>
          <w:b w:val="0"/>
          <w:i w:val="0"/>
          <w:color w:val="3B2F24"/>
          <w:sz w:val="22"/>
        </w:rPr>
      </w:r>
    </w:p>
    <w:p>
      <w:r>
        <w:rPr>
          <w:rFonts w:ascii="Georgia" w:hAnsi="Georgia"/>
          <w:b/>
          <w:i w:val="0"/>
          <w:color w:val="8B3A2E"/>
          <w:sz w:val="30"/>
        </w:rPr>
        <w:t>Open Questions Your Paper Can Answer</w:t>
      </w:r>
    </w:p>
    <w:p>
      <w:r>
        <w:rPr>
          <w:rFonts w:ascii="Georgia" w:hAnsi="Georgia"/>
          <w:b/>
          <w:i w:val="0"/>
          <w:color w:val="7C2D12"/>
          <w:sz w:val="24"/>
        </w:rPr>
        <w:t xml:space="preserve">?  </w:t>
      </w:r>
      <w:r>
        <w:rPr>
          <w:rFonts w:ascii="Georgia" w:hAnsi="Georgia"/>
          <w:b w:val="0"/>
          <w:i w:val="0"/>
          <w:color w:val="3B2F24"/>
          <w:sz w:val="22"/>
        </w:rPr>
        <w:t>How close is the greedy rolling-horizon heuristic to MILP-optimal restoration at the scales where MILP is tractable (N ≤ 50)? What is the suboptimality gap as a function of crew/outage ratio?</w:t>
      </w:r>
    </w:p>
    <w:p>
      <w:r>
        <w:rPr>
          <w:rFonts w:ascii="Georgia" w:hAnsi="Georgia"/>
          <w:b/>
          <w:i w:val="0"/>
          <w:color w:val="7C2D12"/>
          <w:sz w:val="24"/>
        </w:rPr>
        <w:t xml:space="preserve">?  </w:t>
      </w:r>
      <w:r>
        <w:rPr>
          <w:rFonts w:ascii="Georgia" w:hAnsi="Georgia"/>
          <w:b w:val="0"/>
          <w:i w:val="0"/>
          <w:color w:val="3B2F24"/>
          <w:sz w:val="22"/>
        </w:rPr>
        <w:t>Given calibration against one real Eversource storm event (e.g., Isaias 2020 or the May 2018 tornado outage), how well do the model's parameters generalise to a held-out storm?</w:t>
      </w:r>
    </w:p>
    <w:p>
      <w:r>
        <w:rPr>
          <w:rFonts w:ascii="Georgia" w:hAnsi="Georgia"/>
          <w:b/>
          <w:i w:val="0"/>
          <w:color w:val="7C2D12"/>
          <w:sz w:val="24"/>
        </w:rPr>
        <w:t xml:space="preserve">?  </w:t>
      </w:r>
      <w:r>
        <w:rPr>
          <w:rFonts w:ascii="Georgia" w:hAnsi="Georgia"/>
          <w:b w:val="0"/>
          <w:i w:val="0"/>
          <w:color w:val="3B2F24"/>
          <w:sz w:val="22"/>
        </w:rPr>
        <w:t>How do restoration-time distributions change as you scale from county- to state-level outage counts? Is there a phase transition in crew-utilisation efficiency?</w:t>
      </w:r>
    </w:p>
    <w:p>
      <w:r>
        <w:rPr>
          <w:rFonts w:ascii="Georgia" w:hAnsi="Georgia"/>
          <w:b/>
          <w:i w:val="0"/>
          <w:color w:val="7C2D12"/>
          <w:sz w:val="24"/>
        </w:rPr>
        <w:t xml:space="preserve">?  </w:t>
      </w:r>
      <w:r>
        <w:rPr>
          <w:rFonts w:ascii="Georgia" w:hAnsi="Georgia"/>
          <w:b w:val="0"/>
          <w:i w:val="0"/>
          <w:color w:val="3B2F24"/>
          <w:sz w:val="22"/>
        </w:rPr>
        <w:t>Does adding stochastic re-discovery (delayed outage reporting) change the optimal crew dispatch strategy versus deterministic assumptions?</w:t>
      </w:r>
    </w:p>
    <w:p>
      <w:r>
        <w:rPr>
          <w:rFonts w:ascii="Georgia" w:hAnsi="Georgia"/>
          <w:b w:val="0"/>
          <w:i w:val="0"/>
          <w:color w:val="3B2F24"/>
          <w:sz w:val="22"/>
        </w:rPr>
      </w:r>
    </w:p>
    <w:p>
      <w:r>
        <w:rPr>
          <w:rFonts w:ascii="Georgia" w:hAnsi="Georgia"/>
          <w:b/>
          <w:i w:val="0"/>
          <w:color w:val="8B3A2E"/>
          <w:sz w:val="30"/>
        </w:rPr>
        <w:t>Data Sources to Pursue</w:t>
      </w:r>
    </w:p>
    <w:p>
      <w:r>
        <w:rPr>
          <w:rFonts w:ascii="Georgia" w:hAnsi="Georgia"/>
          <w:b/>
          <w:i w:val="0"/>
          <w:color w:val="8B3A2E"/>
          <w:sz w:val="24"/>
        </w:rPr>
        <w:t xml:space="preserve">■ </w:t>
      </w:r>
      <w:r>
        <w:rPr>
          <w:rFonts w:ascii="Georgia" w:hAnsi="Georgia"/>
          <w:b/>
          <w:i w:val="0"/>
          <w:color w:val="3B2F24"/>
          <w:sz w:val="22"/>
        </w:rPr>
        <w:t xml:space="preserve">Connecticut PURA dockets.  </w:t>
      </w:r>
      <w:r>
        <w:rPr>
          <w:rFonts w:ascii="Georgia" w:hAnsi="Georgia"/>
          <w:b w:val="0"/>
          <w:i w:val="0"/>
          <w:color w:val="3B2F24"/>
          <w:sz w:val="22"/>
        </w:rPr>
        <w:t>Post-storm filings for major events (Isaias 2020, May 2018 tornado). Searchable at dpuc.state.ct.us. Restoration timelines, crew counts, mutual-aid arrivals.</w:t>
      </w:r>
    </w:p>
    <w:p>
      <w:r>
        <w:rPr>
          <w:rFonts w:ascii="Georgia" w:hAnsi="Georgia"/>
          <w:b/>
          <w:i w:val="0"/>
          <w:color w:val="8B3A2E"/>
          <w:sz w:val="24"/>
        </w:rPr>
        <w:t xml:space="preserve">■ </w:t>
      </w:r>
      <w:r>
        <w:rPr>
          <w:rFonts w:ascii="Georgia" w:hAnsi="Georgia"/>
          <w:b/>
          <w:i w:val="0"/>
          <w:color w:val="3B2F24"/>
          <w:sz w:val="22"/>
        </w:rPr>
        <w:t xml:space="preserve">Eversource storm reports.  </w:t>
      </w:r>
      <w:r>
        <w:rPr>
          <w:rFonts w:ascii="Georgia" w:hAnsi="Georgia"/>
          <w:b w:val="0"/>
          <w:i w:val="0"/>
          <w:color w:val="3B2F24"/>
          <w:sz w:val="22"/>
        </w:rPr>
        <w:t>Public-facing post-storm documents and PURA submissions. Often include outage curve, crew totals, customer-minutes-without-service.</w:t>
      </w:r>
    </w:p>
    <w:p>
      <w:r>
        <w:rPr>
          <w:rFonts w:ascii="Georgia" w:hAnsi="Georgia"/>
          <w:b/>
          <w:i w:val="0"/>
          <w:color w:val="8B3A2E"/>
          <w:sz w:val="24"/>
        </w:rPr>
        <w:t xml:space="preserve">■ </w:t>
      </w:r>
      <w:r>
        <w:rPr>
          <w:rFonts w:ascii="Georgia" w:hAnsi="Georgia"/>
          <w:b/>
          <w:i w:val="0"/>
          <w:color w:val="3B2F24"/>
          <w:sz w:val="22"/>
        </w:rPr>
        <w:t xml:space="preserve">U.S. Energy Information Administration Form EIA-417.  </w:t>
      </w:r>
      <w:r>
        <w:rPr>
          <w:rFonts w:ascii="Georgia" w:hAnsi="Georgia"/>
          <w:b w:val="0"/>
          <w:i w:val="0"/>
          <w:color w:val="3B2F24"/>
          <w:sz w:val="22"/>
        </w:rPr>
        <w:t>Major electric-disturbance reports. Coarse but federal-level coverage of major outage events including Connecticut.</w:t>
      </w:r>
    </w:p>
    <w:p>
      <w:r>
        <w:rPr>
          <w:rFonts w:ascii="Georgia" w:hAnsi="Georgia"/>
          <w:b/>
          <w:i w:val="0"/>
          <w:color w:val="8B3A2E"/>
          <w:sz w:val="24"/>
        </w:rPr>
        <w:t xml:space="preserve">■ </w:t>
      </w:r>
      <w:r>
        <w:rPr>
          <w:rFonts w:ascii="Georgia" w:hAnsi="Georgia"/>
          <w:b/>
          <w:i w:val="0"/>
          <w:color w:val="3B2F24"/>
          <w:sz w:val="22"/>
        </w:rPr>
        <w:t xml:space="preserve">DOE OE-417 disturbance dataset.  </w:t>
      </w:r>
      <w:r>
        <w:rPr>
          <w:rFonts w:ascii="Georgia" w:hAnsi="Georgia"/>
          <w:b w:val="0"/>
          <w:i w:val="0"/>
          <w:color w:val="3B2F24"/>
          <w:sz w:val="22"/>
        </w:rPr>
        <w:t>Similar federal dataset, downloadable bulk.</w:t>
      </w:r>
    </w:p>
    <w:p>
      <w:r>
        <w:rPr>
          <w:rFonts w:ascii="Georgia" w:hAnsi="Georgia"/>
          <w:b/>
          <w:i w:val="0"/>
          <w:color w:val="8B3A2E"/>
          <w:sz w:val="24"/>
        </w:rPr>
        <w:t xml:space="preserve">■ </w:t>
      </w:r>
      <w:r>
        <w:rPr>
          <w:rFonts w:ascii="Georgia" w:hAnsi="Georgia"/>
          <w:b/>
          <w:i w:val="0"/>
          <w:color w:val="3B2F24"/>
          <w:sz w:val="22"/>
        </w:rPr>
        <w:t xml:space="preserve">County / municipal GIS.  </w:t>
      </w:r>
      <w:r>
        <w:rPr>
          <w:rFonts w:ascii="Georgia" w:hAnsi="Georgia"/>
          <w:b w:val="0"/>
          <w:i w:val="0"/>
          <w:color w:val="3B2F24"/>
          <w:sz w:val="22"/>
        </w:rPr>
        <w:t>For real road network and population density — eventual upgrade from the synthetic demand-point model.</w:t>
      </w:r>
    </w:p>
    <w:p>
      <w:r>
        <w:rPr>
          <w:rFonts w:ascii="Georgia" w:hAnsi="Georgia"/>
          <w:b w:val="0"/>
          <w:i w:val="0"/>
          <w:color w:val="3B2F24"/>
          <w:sz w:val="22"/>
        </w:rPr>
      </w:r>
    </w:p>
    <w:p>
      <w:r>
        <w:rPr>
          <w:rFonts w:ascii="Georgia" w:hAnsi="Georgia"/>
          <w:b w:val="0"/>
          <w:i/>
          <w:color w:val="705638"/>
          <w:sz w:val="20"/>
        </w:rPr>
        <w:t>These citations are starting points drawn from a literature scan rather than an exhaustive bibliography. Verify each on Google Scholar / IEEE Xplore before citing in a manuscript, and use this map to seed a more thorough review.</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