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800" w:lineRule="auto"/>
        <w:jc w:val="left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Описательный анализ данных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864" w:space="6" w:sz="12" w:val="single"/>
        </w:pBdr>
        <w:spacing w:after="400" w:lineRule="auto"/>
        <w:rPr/>
      </w:pPr>
      <w:r w:rsidDel="00000000" w:rsidR="00000000" w:rsidRPr="00000000">
        <w:rPr>
          <w:color w:val="404040"/>
          <w:sz w:val="28"/>
          <w:szCs w:val="28"/>
          <w:rtl w:val="0"/>
        </w:rPr>
        <w:t xml:space="preserve">Датасеты D004 (kv_vopr 0–12), D002, D006, D008 за 2021–2024 годы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Состав: </w:t>
      </w:r>
      <w:r w:rsidDel="00000000" w:rsidR="00000000" w:rsidRPr="00000000">
        <w:rPr>
          <w:rtl w:val="0"/>
        </w:rPr>
        <w:t xml:space="preserve">12 частей опросника D004 (сводные 2021–2024) и годовые агрегаты master_wide 2021–2024, объединяющие D002, D006 и D008.</w:t>
      </w:r>
    </w:p>
    <w:p w:rsidR="00000000" w:rsidDel="00000000" w:rsidP="00000000" w:rsidRDefault="00000000" w:rsidRPr="00000000" w14:paraId="00000004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Основа отчёта: </w:t>
      </w:r>
      <w:r w:rsidDel="00000000" w:rsidR="00000000" w:rsidRPr="00000000">
        <w:rPr>
          <w:rtl w:val="0"/>
        </w:rPr>
        <w:t xml:space="preserve">ноутбук analysis.ipynb (выполнен на полных данных; профили числовых признаков, корреляций и графики для файлов свыше 50 МБ построены по случайной выборке 500 тыс. строк).</w:t>
      </w:r>
    </w:p>
    <w:p w:rsidR="00000000" w:rsidDel="00000000" w:rsidP="00000000" w:rsidRDefault="00000000" w:rsidRPr="00000000" w14:paraId="00000005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Оговорка: </w:t>
      </w:r>
      <w:r w:rsidDel="00000000" w:rsidR="00000000" w:rsidRPr="00000000">
        <w:rPr>
          <w:rtl w:val="0"/>
        </w:rPr>
        <w:t xml:space="preserve">формы опросников менялись по годам, поэтому одинаковое имя колонки в разных годах не означает одинакового смысла. Межгодовые сопоставления ниже — сигналы для сверки с опросниками, а не выводы о динамике.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Краткое резюме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Связность подтверждена.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 NOMER = год·10⁶ + HOUSEHOLD_ID; TE/K совпадают в 100% из 48 000 пар, все 12 000 домохозяйств master_wide каждого года присутствуют в D004.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Нумерация не панельная.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Один и тот же HOUSEHOLD_ID в соседних годах имеет одинаковые TE/K лишь в 2–6% случаев — динамику по нему строить нельзя.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master_wide «разрежен».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126–190 из 510 колонок пусты полностью (в зависимости от года), ещё 70–105 константны; блок D002 (224 колонки) заполнен лишь в ~28% строк.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Формы менялись.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 колонок пусты не во всех годах, у 56 кодированных колонок набор значений резко меняется между соседними годами (47 из них — D006).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Качество D004.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Полные дубликаты есть во всех частях, кроме 0 и 11 (до 2,1% в kv_vopr_9); естественный ключ частей не определён; PRIZ (kv_vopr_1) и KOD (kv_vopr_6) пусты на 100%.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Данные и методика</w:t>
      </w:r>
    </w:p>
    <w:p w:rsidR="00000000" w:rsidDel="00000000" w:rsidP="00000000" w:rsidRDefault="00000000" w:rsidRPr="00000000" w14:paraId="0000000E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Единица наблюдения в master_wide — домохозяйство × лицо × квартал (уникальность ключа HOUSEHOLD_ID + NOMP + KVARTAL подтверждена). В D004 данные хранятся в длинном формате: строка — позиция расходов/дохода домохозяйства за квартал; часть 11 — уровень лиц.</w:t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200"/>
        <w:gridCol w:w="1700"/>
        <w:gridCol w:w="3838"/>
        <w:tblGridChange w:id="0">
          <w:tblGrid>
            <w:gridCol w:w="2900"/>
            <w:gridCol w:w="1200"/>
            <w:gridCol w:w="17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Размер, МБ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Содержимое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master_wide_2021…2024.csv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147–151 (каждый)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510 колонок: d006__ (244), d002_ocenka__ (116), d002_subject__ (108), d008__ (30), ключи/итоги (12)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D004.zip → kv_vopr_{0…7, 9…12}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CSV ×12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1,4–175 (403 в сумме)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Части опросника 2021–2024, 6–33 колонки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структура_датасетов_и_опросники.zip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XLS, DOC,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77 файлов: формы опросников и структуры D001, D002, D004, D006, D008 по годам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Методика: большие файлы читались чанками с понижением типов; пропуски, дубликаты и ключи рассчитаны по полным данным, описательные статистики, выбросы (правило IQR, только счётчики), корреляции (только |r|&gt;0.5) и графики — по выборке. Расшифровки колонок подтянуты из структур D002 (2022–2023), D008 и D004; D006 задан кодировщиком по вопросам и автоматически не расшифровывается. Данных D001 в выгрузке нет.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3. master_wide по годам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8"/>
        <w:gridCol w:w="1400"/>
        <w:gridCol w:w="1400"/>
        <w:gridCol w:w="1400"/>
        <w:gridCol w:w="1400"/>
        <w:tblGridChange w:id="0">
          <w:tblGrid>
            <w:gridCol w:w="4038"/>
            <w:gridCol w:w="1400"/>
            <w:gridCol w:w="1400"/>
            <w:gridCol w:w="14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167 472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170 724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170 756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167 284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Домохозяйств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Пар «домохозяйство–лицо»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41 868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42 681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42 689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41 821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Лиц на домохозяйство-квартал (ср.)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3.49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Колонок с пропусками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Полностью пустых 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Константных 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Полных дубликатов / дубликатов по ключу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Кодированных колонок (≤15 знач.)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Непрерывных 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Пар |r|&gt;0.5 (из них |r|≥0.99)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166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154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178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197 (6)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Пропуски TOTAL_EXPENDITURE,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Средний % NA: D006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67.7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Средний % NA: D008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47.6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Средний % NA: D002 (ocenka)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Строк без данных D002,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видно. </w:t>
      </w:r>
      <w:r w:rsidDel="00000000" w:rsidR="00000000" w:rsidRPr="00000000">
        <w:rPr>
          <w:rtl w:val="0"/>
        </w:rPr>
        <w:t xml:space="preserve">Структура и объём стабильны (≈167–171 тыс. строк, 12 000 домохозяйств, ~3,5 лица на домохозяйство-квартал), дубликатов нет. Число пустых колонок падает с 190 (2021) до 126 (2024), а кодированных растёт с 290 до 355 — это выглядит как расширение формы опросника, а не как улучшение качества.</w:t>
      </w:r>
    </w:p>
    <w:p w:rsidR="00000000" w:rsidDel="00000000" w:rsidP="00000000" w:rsidRDefault="00000000" w:rsidRPr="00000000" w14:paraId="0000007E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TOTAL_EXPENDITURE </w:t>
      </w:r>
      <w:r w:rsidDel="00000000" w:rsidR="00000000" w:rsidRPr="00000000">
        <w:rPr>
          <w:rtl w:val="0"/>
        </w:rPr>
        <w:t xml:space="preserve">— показатель домохозяйства: значение повторяется по всем лицам домохозяйства в 100% случаев, пропусков 1.5–1.3%. Для анализа расходов данные нужно агрегировать до уровня домохозяйство × квартал, иначе крупные домохозяйства получают завышенный вес.</w:t>
      </w:r>
    </w:p>
    <w:p w:rsidR="00000000" w:rsidDel="00000000" w:rsidP="00000000" w:rsidRDefault="00000000" w:rsidRPr="00000000" w14:paraId="0000007F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Артефакты слияния. </w:t>
      </w:r>
      <w:r w:rsidDel="00000000" w:rsidR="00000000" w:rsidRPr="00000000">
        <w:rPr>
          <w:rtl w:val="0"/>
        </w:rPr>
        <w:t xml:space="preserve">NOMER_x и NOMER_y совпадают менее чем в 1% строк, GODO_x/GODO_y пусты в ~72% строк — происхождение и назначение этих колонок неясны.</w:t>
      </w:r>
    </w:p>
    <w:p w:rsidR="00000000" w:rsidDel="00000000" w:rsidP="00000000" w:rsidRDefault="00000000" w:rsidRPr="00000000" w14:paraId="0000008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57550"/>
            <wp:effectExtent b="0" l="0" r="0" t="0"/>
            <wp:docPr descr="master_wide 2021: пропуски и TOTAL_EXPENDITURE" id="3" name="image5.png"/>
            <a:graphic>
              <a:graphicData uri="http://schemas.openxmlformats.org/drawingml/2006/picture">
                <pic:pic>
                  <pic:nvPicPr>
                    <pic:cNvPr descr="master_wide 2021: пропуски и TOTAL_EXPENDITUR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1. master_wide_2021: пропуски по группам, топ колонок по % NA, распределение и динамика TOTAL_EXPENDITURE.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57550"/>
            <wp:effectExtent b="0" l="0" r="0" t="0"/>
            <wp:docPr descr="master_wide 2024: пропуски и TOTAL_EXPENDITURE" id="5" name="image2.png"/>
            <a:graphic>
              <a:graphicData uri="http://schemas.openxmlformats.org/drawingml/2006/picture">
                <pic:pic>
                  <pic:nvPicPr>
                    <pic:cNvPr descr="master_wide 2024: пропуски и TOTAL_EXPENDITUR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2. master_wide_2024: те же показатели; сравнение с 2021 показывает снижение доли пропусков в D008.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819275"/>
            <wp:effectExtent b="0" l="0" r="0" t="0"/>
            <wp:docPr descr="Сравнение годов master_wide" id="4" name="image6.png"/>
            <a:graphic>
              <a:graphicData uri="http://schemas.openxmlformats.org/drawingml/2006/picture">
                <pic:pic>
                  <pic:nvPicPr>
                    <pic:cNvPr descr="Сравнение годов master_wide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3. Расхождения заполненности и наборов значений между годами; средний % NA по группам колонок.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Межгодовое сопоставление. </w:t>
      </w:r>
      <w:r w:rsidDel="00000000" w:rsidR="00000000" w:rsidRPr="00000000">
        <w:rPr>
          <w:rtl w:val="0"/>
        </w:rPr>
        <w:t xml:space="preserve">Имена колонок идентичны (510), но 226 колонок пусты не во всех годах, а у 56 кодированных колонок набор значений резко меняется (D006 — 47, D002_ocenka — 5, D008 — 3, D002_subject — 1). Сопоставлять колонки по имени без кодбука по годам нельзя.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4. D004: 12 частей опросника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200"/>
        <w:gridCol w:w="850"/>
        <w:gridCol w:w="1100"/>
        <w:gridCol w:w="2588"/>
        <w:gridCol w:w="1200"/>
        <w:gridCol w:w="1400"/>
        <w:tblGridChange w:id="0">
          <w:tblGrid>
            <w:gridCol w:w="1300"/>
            <w:gridCol w:w="1200"/>
            <w:gridCol w:w="850"/>
            <w:gridCol w:w="1100"/>
            <w:gridCol w:w="2588"/>
            <w:gridCol w:w="12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Колонок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Домохоз.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Пропуски (топ)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Полн. дубли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Min/max по кварталам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192 000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4 391 820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47 810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PRIZ 100%, MESTPOK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17 607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998 776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47 823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TIME 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1 456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422 130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47 811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1 329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37 119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13 454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74 202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27 510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675 523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47 658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KOD 100%, NOMOTV 46.9%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4 046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248 753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44 075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917 692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47 824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EDIZ 84%, KODNU 77.8%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19 073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166 793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29 759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NOMVNEW 45%, GR3 8.3%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396 510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47 768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VOZ 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kv_vopr_12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91 166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21 166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GR1 86.4%, NOMOTV 81.2%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2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Охват по годам и кварталам полный (2021–2024, без пустых ячеек «год × квартал»), но объём записей по кварталам неравномерен в kv_vopr_10 и 4 (min/max ≈ 0,5) и в kv_vopr_12 (≈ 0,7).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Части 4, 5, 10 и 12 содержат лишь 13–30 тыс. домохозяйств из 48 тыс. — это редкие категории расходов, а не сбой выгрузки, но при join'ах нужен LEFT JOIN и учёт отсутствия.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Денежное поле STOIMK и счётные величины сильно скошены вправо; выбросов по IQR 2–16% в выборках; в kv_vopr_9 и 11 большинство числовых колонок разрежены (IQR = 0), корреляции малоинформативны.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kv_vopr_9 — самая «дырявая» часть: 14 из 20 колонок с пропусками (EDIZ 84%, KODNU 78%) и максимум полных дубликатов (19 073; 2,1%). В kv_vopr_12 идентифицирующие поля пусты на 66–86% — вероятно, в таблице смешаны разные типы записей.</w:t>
      </w:r>
    </w:p>
    <w:p w:rsidR="00000000" w:rsidDel="00000000" w:rsidP="00000000" w:rsidRDefault="00000000" w:rsidRPr="00000000" w14:paraId="000000E8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48000"/>
            <wp:effectExtent b="0" l="0" r="0" t="0"/>
            <wp:docPr descr="kv_vopr_1" id="7" name="image3.png"/>
            <a:graphic>
              <a:graphicData uri="http://schemas.openxmlformats.org/drawingml/2006/picture">
                <pic:pic>
                  <pic:nvPicPr>
                    <pic:cNvPr descr="kv_vopr_1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4. kv_vopr_1 (выборка 500 тыс. строк): распределение STOIMK, число строк по кварталам, топ значений KODNU, пропуски.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048000"/>
            <wp:effectExtent b="0" l="0" r="0" t="0"/>
            <wp:docPr descr="kv_vopr_9" id="6" name="image4.png"/>
            <a:graphic>
              <a:graphicData uri="http://schemas.openxmlformats.org/drawingml/2006/picture">
                <pic:pic>
                  <pic:nvPicPr>
                    <pic:cNvPr descr="kv_vopr_9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5. kv_vopr_9: та же раскладка; видны множественные пустые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5. Связи между датасетами</w:t>
      </w:r>
    </w:p>
    <w:p w:rsidR="00000000" w:rsidDel="00000000" w:rsidP="00000000" w:rsidRDefault="00000000" w:rsidRPr="00000000" w14:paraId="000000ED">
      <w:pPr>
        <w:spacing w:after="120" w:line="288" w:lineRule="auto"/>
        <w:rPr/>
      </w:pPr>
      <w:r w:rsidDel="00000000" w:rsidR="00000000" w:rsidRPr="00000000">
        <w:rPr>
          <w:rtl w:val="0"/>
        </w:rPr>
        <w:t xml:space="preserve">Гипотеза о ключе NOMER = год·10⁶ + HOUSEHOLD_ID выполняется во всех строках всех частей D004. Минимальное покрытие домохозяйств master_wide отдельной частью — 23.1% (редкие части), обратное покрытие (домохозяйства части, найденные в master_wide) — 100%.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700"/>
        <w:gridCol w:w="1700"/>
        <w:gridCol w:w="1700"/>
        <w:gridCol w:w="1769"/>
        <w:gridCol w:w="1769"/>
        <w:tblGridChange w:id="0">
          <w:tblGrid>
            <w:gridCol w:w="1000"/>
            <w:gridCol w:w="1700"/>
            <w:gridCol w:w="1700"/>
            <w:gridCol w:w="1700"/>
            <w:gridCol w:w="1769"/>
            <w:gridCol w:w="17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Лиц в master_wide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Лиц в kv_vopr_11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Найдено в обоих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master найдено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% kv_11 найдено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41 868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42 681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42 689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26 404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41 821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12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Каждое лицо из kv_vopr_11 найдено в master_wide (100%), обратно — лишь ~62%: критерий отбора лиц в kv_vopr_11 требует уточнения (например, только взрослые/опрашиваемые).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Согласованность денег: ранговая корреляция ΣSTOIMK и TOTAL_EXPENDITURE по домохозяйство-кварталу умеренная (ρ≈0,7 для частей 1 и 12; 0,2–0,5 для остальных). Это исследовательская проверка: смысл STOIMK по частям опросником не подтверждён.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Панельность: доля HOUSEHOLD_ID с прежними TE/K — 5.9% (2021→2022), 2.3% (2022→2023), 3% (2023→2024), то есть номера домохозяйств переиспользуются между годами.</w:t>
      </w:r>
    </w:p>
    <w:p w:rsidR="00000000" w:rsidDel="00000000" w:rsidP="00000000" w:rsidRDefault="00000000" w:rsidRPr="00000000" w14:paraId="00000110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009775"/>
            <wp:effectExtent b="0" l="0" r="0" t="0"/>
            <wp:docPr descr="Покрытие join" id="2" name="image1.png"/>
            <a:graphic>
              <a:graphicData uri="http://schemas.openxmlformats.org/drawingml/2006/picture">
                <pic:pic>
                  <pic:nvPicPr>
                    <pic:cNvPr descr="Покрытие join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Рис. 6. Покрытие домохозяйств master_wide частями D004 и ранговая корреляция ΣSTOIMK с TOTAL_EXPENDITURE.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6. Ключевые находки и проблемы качества данных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Связность подтверждена: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NOMER = год·10⁶ + HOUSEHOLD_ID, TE/K совпадают в 100%, дубликатов по ключу в master_wide нет.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Много «мёртвых» колонок: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126–190 из 510 пусты полностью, 70–105 константны; D002 заполнен лишь в ~28% строк.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Формы менялись: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 колонок пусты не во всех годах; у 56 кодированных колонок набор значений резко меняется (47 — D006).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Артефакты слияния: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NOMER_x/NOMER_y совпадают в &lt;1% строк; GODO_x/GODO_y пусты в ~72%.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TOTAL_EXPENDITURE — уровень домохозяйства,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повторённый по лицам; пропусков 1,2–1,5%.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Дубликаты в D004: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полные дубликаты во всех частях, кроме 0 и 11 (kv_9 — 2,1%, kv_1 — 17,6 тыс.); естественный ключ частей не определён.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Пустые и разреженные поля D004: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PRIZ (kv_1) и KOD (kv_6) — 100% NA; в kv_9 и kv_12 многие поля пусты на 45–86%.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Распределения: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денежные и счётные величины скошены вправо, выбросы по IQR 2–16%; многие числовые колонки разрежены.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Нумерация не панельная: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HOUSEHOLD_ID с прежними TE/K в соседних годах — лишь 2–6%.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Неполное покрытие: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kv_11 охватывает ~62% лиц master_wide; kv_4, 5, 10, 12 — только часть домохозяйств; кварталы в kv_10 и kv_4 представлены неравномерно.</w:t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7. Рекомендации для дальнейшей работы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Собрать кодбук «колонка × год → смысл/шкала»,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начав с помеченных 56+226 колонок и блока D006; до этого не объединять годы в один ряд.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Очистить master_wide: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убрать пустые/константные колонки и артефакты _x/_y, кодированные признаки хранить как category, целевые таблицы — в parquet.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Выбрать корректный уровень анализа: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расходы — домохозяйство × квартал; лица — HOUSEHOLD_ID + NOMP; уточнить наличие весов репрезентативности.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D004: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структуре определить ключ каждой части, затем удалить полные дубликаты (после сверки с источником); исключить PRIZ и KOD.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Денежные величины: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логарифм/винзоризация для моделей; для сравнения лет нужна дефляция номинальных значений.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Вопросы владельцам данных: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критерий отбора лиц в kv_vopr_11, причина заполненности D002 лишь в ~28% строк, неравномерность кварталов в kv_10/kv_4, нумерация домохозяйств между годами.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Следующий шаг EDA: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тематические срезы (TE/K, размер домохозяйства, кварталы) после согласования кодбука; сравнение годов только для колонок с подтверждённой сопоставимостью.</w:t>
      </w:r>
    </w:p>
    <w:sectPr>
      <w:footerReference r:id="rId13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jc w:val="center"/>
      <w:rPr/>
    </w:pPr>
    <w:r w:rsidDel="00000000" w:rsidR="00000000" w:rsidRPr="00000000">
      <w:rPr>
        <w:color w:val="7f7f7f"/>
        <w:sz w:val="18"/>
        <w:szCs w:val="18"/>
        <w:rtl w:val="0"/>
      </w:rPr>
      <w:t xml:space="preserve">Стр.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f549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uSLj8Ie9ewnFQBdfOInJJ1V1hA==">CgMxLjA4AHIhMWxLSWtjTTJjOXFuV2Y1VXBXSG84UVRQR2RkTVBuS0dz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2026-09-29T05:16:02.291Z</dcterms:created>
  <dc:creator>Claude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