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2"/>
          <w:szCs w:val="52"/>
          <w:rtl w:val="0"/>
        </w:rPr>
        <w:t xml:space="preserve">Описательный анализ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404040"/>
          <w:sz w:val="32"/>
          <w:szCs w:val="32"/>
          <w:rtl w:val="0"/>
        </w:rPr>
        <w:t xml:space="preserve">Агрегированные данные форм 1-Т и 2-Т, 2021–2024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8 файлов CSV, ≈ 37 млн строк, ≈ 2,7 ГБ. Отчёт сопровождает ноутбук analysis.ipynb, где приведены все расчёты и графики.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Резюме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Три главных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Связать предприятия между файлами нельзя.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Пересечение ID равно нулю между всеми парами файлов: и между 1-Т и 2-Т одного года, и между соседними годами. Панельный анализ и join по предприятию недоступны без таблицы соответствия.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Схема и справочники меняются каждый год.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1-Т значение показателя лежит в GR1 (2021–2023) и в VAL_NUM (2024); в 2024 KATO стал 9-значным, OKED — 4–5-значным; 2-Т 2024 снят на апрель, а не на конец года.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проблемы качества.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1-Т 32–33% строк повторяют комбинацию измерений с другим значением, полные дубликаты — 3,5%. Восемь кодовых колонок заполнены менее чем на 12%. Итоговые строки (SP=0) занимают около 39% строк 1-Т. Значения сильно скошены (skew до 128).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Данные и методика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Формат «длинный»: одна строка — значение одного статистического показателя (KCP) в разрезе кодовых измерений (пол, занятие, регион, ОКЭД и др.). Файлы прочитаны чанками по 400 тыс. строк.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Точно по всем строкам: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shape, пропуски, дубликаты, частоты кодов, min/max.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выборке 3% (seed=1):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describe, асимметрия, выбросы IQR (только счётчики), корреляции.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каждому KCP отдельно: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значения разных показателей (численность, зарплата, часы) несопоставимы.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Расшифровки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колонок взяты из файлов структуры; для 8 полей (SH, KPOP, AKT, KFS, KOPF, KSE, GSGTPE, SPVD) расшифровки нет.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Гипотеза: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1-Т 2021–2023 значением считается GR1. В структуре он описан как справочник ФЗП, но по данным это числовая величина с тяжёлым хвостом. Требует подтверждения.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600"/>
        <w:gridCol w:w="1100"/>
        <w:gridCol w:w="1700"/>
        <w:gridCol w:w="1300"/>
        <w:gridCol w:w="1400"/>
        <w:gridCol w:w="1238"/>
        <w:tblGridChange w:id="0">
          <w:tblGrid>
            <w:gridCol w:w="1300"/>
            <w:gridCol w:w="1600"/>
            <w:gridCol w:w="1100"/>
            <w:gridCol w:w="1700"/>
            <w:gridCol w:w="1300"/>
            <w:gridCol w:w="1400"/>
            <w:gridCol w:w="1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Датасет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Строк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Колонок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Колонка 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Память, МБ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Уник.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1-Т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7 721 951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70 874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1-Т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8 285 961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77 994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1-Т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8 574 325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83 754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1-Т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5 443 662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1 716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52 289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2-Т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1 884 114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15 679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2-Т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1 708 363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14 613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2-Т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1 748 127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15 820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2-Т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1 988 210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17 159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00" w:before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Данные о размерах: память — при полной загрузке в pandas.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Динамика объёма и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962150"/>
            <wp:effectExtent b="0" l="0" r="0" t="0"/>
            <wp:docPr descr="Рис. 1. Число строк и уникальных ID по годам" id="2" name="image4.png"/>
            <a:graphic>
              <a:graphicData uri="http://schemas.openxmlformats.org/drawingml/2006/picture">
                <pic:pic>
                  <pic:nvPicPr>
                    <pic:cNvPr descr="Рис. 1. Число строк и уникальных ID по годам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Рис. 1. Число строк и уникальных ID по годам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Число строк и ID в 1-Т росло с 2021 по 2023 (+11% строк), а в 2024 упало примерно на треть (5,4 млн строк, 52 тыс. ID против 84 тыс. в 2023) — возможно, неполный охват отчётности. В 2-Т объём растёт до 2024, при этом срез 2024 снят на апрель.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3.1. Изменения схемы по годам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400"/>
        <w:gridCol w:w="4338"/>
        <w:tblGridChange w:id="0">
          <w:tblGrid>
            <w:gridCol w:w="900"/>
            <w:gridCol w:w="4400"/>
            <w:gridCol w:w="43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1-Т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2-Т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16 колонок, значение — GR1; периода (RYEAR/RMONTH) в данных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13 колонок, VAL_NUM; периода нет; SH пуста на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+RMONTH, RYEAR (константы: 12, 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+RYEAR, SPPN, SPPN1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+SPTM1 (тип местности)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структура та же, что в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30 колонок: VAL_NUM вместо GR1, +KATO1, OKED1/2, KPOP, AKT, KFS, KOPF, KSE, KRP, SPTM, GSGTPE, SPVD; RMONTH исчез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 колонок: KATO1/OKED1 вместо KATO/OKED, +RMONTH=4, SPTM, GSGTPE, SPVD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Из-за этого одноимённые колонки нельзя считать эквивалентными без проверки. Например, SPPN в 2-Т по данным — порядковый номер (1, 2, 3…), а в справочниках 2019–2023 описан как год приёма.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Качество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4.1. Дубликаты и константы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019300"/>
            <wp:effectExtent b="0" l="0" r="0" t="0"/>
            <wp:docPr descr="Рис. 2. Доля полных дубликатов и дубликатов по измерениям" id="4" name="image5.png"/>
            <a:graphic>
              <a:graphicData uri="http://schemas.openxmlformats.org/drawingml/2006/picture">
                <pic:pic>
                  <pic:nvPicPr>
                    <pic:cNvPr descr="Рис. 2. Доля полных дубликатов и дубликатов по измерениям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Рис. 2. Доля полных дубликатов и дубликатов по измерениям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700"/>
        <w:gridCol w:w="1600"/>
        <w:gridCol w:w="2900"/>
        <w:gridCol w:w="2138"/>
        <w:tblGridChange w:id="0">
          <w:tblGrid>
            <w:gridCol w:w="1300"/>
            <w:gridCol w:w="1700"/>
            <w:gridCol w:w="1600"/>
            <w:gridCol w:w="2900"/>
            <w:gridCol w:w="2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Датасет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Полные дубликаты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 измерениям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Константные колонки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Макс.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1-Т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32.9%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21 736 750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1-Т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3.56%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32.4%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RMONTH, RYEAR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20 583 050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1-Т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32.0%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RMONTH, RYEAR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71 862 724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1-Т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3.63%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33.0%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RYEAR, SPVD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20 286 817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2-Т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11 354 000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2-Т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12 300 000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2-Т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19 449 100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2-Т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RMONTH, RYEAR, SPVD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17 800 000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Ключ строки не определён: в 1-Т треть строк дублирует комбинацию измерений с другим значением. В 2-Т 2021 дубликатов заметно больше (7,3%), чем в последующие годы (≤0,5%).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4.2. Пропуски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133600"/>
            <wp:effectExtent b="0" l="0" r="0" t="0"/>
            <wp:docPr descr="Рис. 3. Пропуски по колонкам (1-Т 2023 и 2-Т 2023)" id="3" name="image3.png"/>
            <a:graphic>
              <a:graphicData uri="http://schemas.openxmlformats.org/drawingml/2006/picture">
                <pic:pic>
                  <pic:nvPicPr>
                    <pic:cNvPr descr="Рис. 3. Пропуски по колонкам (1-Т 2023 и 2-Т 2023)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Рис. 3. Пропуски по колонкам (1-Т 2023 и 2-Т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1-Т: 8 из 11 кодовых колонок пусты на 88–100% — формат разреженный, поле заполняется только для «своих» KCP. SVDOB заполнена на 0,2%.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2-Т: атрибуты пусты на 1,8%, вероятно, это строки KCP 251414 без разбивок; SH пуста на 100% во всех годах.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OKED2 (1-Т 2024) пуста на 100%.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4.3. Выбросы и асимметрия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657350"/>
            <wp:effectExtent b="0" l="0" r="0" t="0"/>
            <wp:docPr descr="Рис. 4. Распределение значений по топ-3 KCP, 1-Т 2023 (логарифмическая шкала)" id="6" name="image2.png"/>
            <a:graphic>
              <a:graphicData uri="http://schemas.openxmlformats.org/drawingml/2006/picture">
                <pic:pic>
                  <pic:nvPicPr>
                    <pic:cNvPr descr="Рис. 4. Распределение значений по топ-3 KCP, 1-Т 2023 (логарифмическая шкала)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Рис. 4. Распределение значений по топ-3 KCP, 1-Т 2023 (логарифмическая шкала)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Значения сильно скошены вправо (skew 13–128 у главных KCP 1-Т), доля выбросов по IQR — 5–14% в 1-Т и 5–35% в 2-Т. Это естественный хвост крупных предприятий, но не обязательно ошибки. Максимум GR1 в 2023 (71,9 млн) втрое выше соседних лет — стоит проверить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4.4. Итоговые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Значение SP=0 («всего») составляет около 39% строк 1-Т и около 1% строк 2-Т. При суммировании вместе с разбивкой по полу возникает двойной счёт.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4.5. Корреляции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 1-Т 2021–2023 пар с |r| &gt; 0.5 нет. В 1-Т 2024 избыточны пары KATO1–KATO (0,998), OKED1–OKED (0,996), SPTM1–SPTM (0,995). В 2-Т единственная значимая связь KCP–VAL_NUM (r от −0,54 до −0,66) — артефакт смешения шкал разных показателей.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Показатели оплаты труда (2-Т)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962150"/>
            <wp:effectExtent b="0" l="0" r="0" t="0"/>
            <wp:docPr descr="Рис. 5. Медиана ср. месячной з/п и структура найма по году приёма" id="5" name="image1.png"/>
            <a:graphic>
              <a:graphicData uri="http://schemas.openxmlformats.org/drawingml/2006/picture">
                <pic:pic>
                  <pic:nvPicPr>
                    <pic:cNvPr descr="Рис. 5. Медиана ср. месячной з/п и структура найма по году приёма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Рис. 5. Медиана ср. месячной з/п и структура найма по году приёма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 2-Т четыре показателя во всех годах: 251414 (численность), 252101 (ср. мес. номинальная з/п, тенге), 25240401 (часы на одного работника), 25220313 (ФЗП одного работника, тыс. тенге). Медиана 252101 выросла с 142 до 236 тыс. тенге (2021→2024), но срезы неодинаковы по периоду, а формы менялись, поэтому сравнивать осторожно. Пик найма по SPPN2 приходится на последний полный год перед отчётным, найм в 2024 неполный. Месяц найма (SM) имеет пик в сентябре.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Связи между датасетами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6.1. Общие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 — псевдонимизированные токены: 20 символов в 1-Т, 16 в 2-Т, начинаются с «S-». Пересечение множеств ID равно нулю во всех парах файлов, поэтому доля удержания предприятий между годами и покрытие join’ов 1-Т↔2-Т равны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6.2. Справочники KATO, OKED, KCP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KATO: в 2021–2023 2-значный (17–20 регионов); в 2024 9-значный. Первые 2 цифры 2024 совпадают с прежними 20 регионами.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OKED: в 2021–2023 1–2 цифры (коды 1–9, вероятно, потеряли ведущие нули); в 2024 4–5 цифр (527 значений в 1-Т).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KCP: в 1-Т 38 кодов общие для всех лет (38, 46, 46, 40 по годам); в 2-Т одни и те же 4.</w:t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Ключевые находки и проблемы качества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не связывают датасеты: пересечение равно нулю между всеми файлами.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 явного ключа строки: 32–33% строк 1-Т дублируют измерения с другим значением; полные дубликаты 3,5%.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Схема плавает по годам: GR1 → VAL_NUM, новые поля в 2024, RMONTH/RYEAR только с 2022, в 1-Т 2021 периода нет.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Гранулярность справочников изменилась в 2024: KATO 2 → 9 цифр, OKED 2 → 4–5 цифр; OKED 1–9 без ведущих нулей.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Разреженный формат: 8 колонок 1-Т пусты на 88–100%; SH и OKED2 пусты полностью.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Итоговые строки SP=0 (~39% строк 1-Т) создают риск двойного счёта.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Разные срезы периода: 1-Т — конец года (RMONTH=12 в 2022–2023), 2-Т 2024 — апрель; 1-Т 2024 короче примерно на треть.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Тяжёлые хвосты: skew до 128, выбросы IQR 5–35%; максимум GR1 2023 = 71,9 млн.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Избыточные и нерасшифрованные поля: KATO1/KATO, OKED1/OKED, SPTM1/SPTM (r&gt;0,99); KPOP, AKT, KFS, KOPF, KSE, GSGTPE, SH, SPVD без описания.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Расхождения структур: SPPN по данным — порядковый номер, в справочниках — год приёма; GR1 описан как справочник, а по данным число.</w:t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Уточнить у поставщика: есть ли таблица соответствия ID; подтвердить GR1 как значение; получить расшифровки SH, KPOP, AKT, KFS, KOPF, KSE.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строить панель по ID; работать на уровне агрегатов: регион (KATO до 2 цифр), ОКЭД (2-значный раздел), KCP, пол.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Привести данные к единой схеме: value, year, month, form; перекодировать KATO/OKED 2024 до 2 цифр, вернуть ведущие нули OKED 2021–2023.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Согласовать ключ дедупликации; удалять полные дубликаты, а строки с разными значениями проверять отдельно.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Исключать итоговые строки (SP=0) при суммировании или использовать их как контрольные суммы.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сравнивать 2-Т 2024 (апрель) с 2021–2023 напрямую; выяснить причину меньшего охвата в 1-Т 2024.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Анализировать хвосты через логарифмы и медианы, не удалять выбросы без проверки; отдельно проверить максимум GR1 2023.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Хранить данные в parquet, читать 1-Т чанками или через usecols; при моделировании сначала фильтровать по KCP.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Следующий шаг: профили KCP 251401, 252203, 252101, 251414 по регионам и ОКЭД, годовая динамика с учётом смены форм.</w:t>
      </w:r>
    </w:p>
    <w:sectPr>
      <w:footerReference r:id="rId12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jc w:val="center"/>
      <w:rPr/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f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35z5D1RPSrHqmskstNVoP33DA==">CgMxLjA4AHIhMW9wNVdUdWZMZXlJYzVXWENuWWJtMjRkOUFaWkU3ajF6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2026-09-29T08:18:22.490Z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