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left"/>
      </w:pPr>
      <w:r>
        <w:rPr>
          <w:b/>
          <w:bCs/>
          <w:color w:val="1F3864"/>
          <w:sz w:val="48"/>
          <w:szCs w:val="48"/>
        </w:rPr>
        <w:t xml:space="preserve">Описательный анализ данных (EDA)</w:t>
      </w:r>
    </w:p>
    <w:p>
      <w:pPr>
        <w:pBdr>
          <w:bottom w:val="single" w:color="1F3864" w:sz="12" w:space="6"/>
        </w:pBdr>
        <w:spacing w:after="400"/>
      </w:pPr>
      <w:r>
        <w:rPr>
          <w:color w:val="404040"/>
          <w:sz w:val="28"/>
          <w:szCs w:val="28"/>
        </w:rPr>
        <w:t xml:space="preserve">Датасеты D004 (kv_vopr 0–12), D002, D006, D008 за 2021–2024 годы</w:t>
      </w:r>
    </w:p>
    <w:p>
      <w:pPr>
        <w:spacing w:after="120" w:line="288"/>
      </w:pPr>
      <w:r>
        <w:rPr>
          <w:b/>
          <w:bCs/>
        </w:rPr>
        <w:t xml:space="preserve">Состав: </w:t>
      </w:r>
      <w:r>
        <w:t xml:space="preserve">12 частей опросника D004 (сводные 2021–2024) и годовые агрегаты master_wide 2021–2024, объединяющие D002, D006 и D008.</w:t>
      </w:r>
    </w:p>
    <w:p>
      <w:pPr>
        <w:spacing w:after="120" w:line="288"/>
      </w:pPr>
      <w:r>
        <w:rPr>
          <w:b/>
          <w:bCs/>
        </w:rPr>
        <w:t xml:space="preserve">Основа отчёта: </w:t>
      </w:r>
      <w:r>
        <w:t xml:space="preserve">ноутбук analysis.ipynb (выполнен на полных данных; профили числовых признаков, корреляций и графики для файлов свыше 50 МБ построены по случайной выборке 500 тыс. строк).</w:t>
      </w:r>
    </w:p>
    <w:p>
      <w:pPr>
        <w:spacing w:after="120" w:line="288"/>
      </w:pPr>
      <w:r>
        <w:rPr>
          <w:b/>
          <w:bCs/>
        </w:rPr>
        <w:t xml:space="preserve">Оговорка: </w:t>
      </w:r>
      <w:r>
        <w:t xml:space="preserve">формы опросников менялись по годам, поэтому одинаковое имя колонки в разных годах не означает одинакового смысла. Межгодовые сопоставления ниже — сигналы для сверки с опросниками, а не выводы о динамике.</w:t>
      </w:r>
    </w:p>
    <w:p>
      <w:r>
        <w:br w:type="page"/>
      </w:r>
    </w:p>
    <w:p>
      <w:pPr>
        <w:pStyle w:val="Heading1"/>
      </w:pPr>
      <w:r>
        <w:t xml:space="preserve">1. Краткое резюме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Связность подтверждена. </w:t>
      </w:r>
      <w:r>
        <w:t xml:space="preserve">Ключ NOMER = год·10⁶ + HOUSEHOLD_ID; TE/K совпадают в 100% из 48 000 пар, все 12 000 домохозяйств master_wide каждого года присутствуют в D004.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Нумерация не панельная. </w:t>
      </w:r>
      <w:r>
        <w:t xml:space="preserve">Один и тот же HOUSEHOLD_ID в соседних годах имеет одинаковые TE/K лишь в 2–6% случаев — динамику по нему строить нельзя.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master_wide «разрежен». </w:t>
      </w:r>
      <w:r>
        <w:t xml:space="preserve">126–190 из 510 колонок пусты полностью (в зависимости от года), ещё 70–105 константны; блок D002 (224 колонки) заполнен лишь в ~28% строк.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Формы менялись. </w:t>
      </w:r>
      <w:r>
        <w:t xml:space="preserve">226 колонок пусты не во всех годах, у 56 кодированных колонок набор значений резко меняется между соседними годами (47 из них — D006).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Качество D004. </w:t>
      </w:r>
      <w:r>
        <w:t xml:space="preserve">Полные дубликаты есть во всех частях, кроме 0 и 11 (до 2,1% в kv_vopr_9); естественный ключ частей не определён; PRIZ (kv_vopr_1) и KOD (kv_vopr_6) пусты на 100%.</w:t>
      </w:r>
    </w:p>
    <w:p>
      <w:pPr>
        <w:pStyle w:val="Heading1"/>
      </w:pPr>
      <w:r>
        <w:t xml:space="preserve">2. Данные и методика</w:t>
      </w:r>
    </w:p>
    <w:p>
      <w:pPr>
        <w:spacing w:after="120" w:line="288"/>
      </w:pPr>
      <w:r>
        <w:t xml:space="preserve">Единица наблюдения в master_wide — домохозяйство × лицо × квартал (уникальность ключа HOUSEHOLD_ID + NOMP + KVARTAL подтверждена). В D004 данные хранятся в длинном формате: строка — позиция расходов/дохода домохозяйства за квартал; часть 11 — уровень лиц.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00"/>
        <w:gridCol w:w="1700"/>
        <w:gridCol w:w="3838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Файл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Формат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Размер, МБ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Содержимое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master_wide_2021…2024.csv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CSV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147–151 (каждый)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510 колонок: d006__ (244), d002_ocenka__ (116), d002_subject__ (108), d008__ (30), ключи/итоги (12)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D004.zip → kv_vopr_{0…7, 9…12}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CSV ×12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1,4–175 (403 в сумме)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Части опросника 2021–2024, 6–33 колонки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структура_датасетов_и_опросники.zip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XLS, DOC, PDF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77 файлов: формы опросников и структуры D001, D002, D004, D006, D008 по годам</w:t>
            </w:r>
          </w:p>
        </w:tc>
      </w:tr>
    </w:tbl>
    <w:p>
      <w:pPr>
        <w:spacing w:after="120" w:line="288"/>
      </w:pPr>
      <w:r>
        <w:t xml:space="preserve"/>
      </w:r>
    </w:p>
    <w:p>
      <w:pPr>
        <w:spacing w:after="120" w:line="288"/>
      </w:pPr>
      <w:r>
        <w:t xml:space="preserve">Методика: большие файлы читались чанками с понижением типов; пропуски, дубликаты и ключи рассчитаны по полным данным, описательные статистики, выбросы (правило IQR, только счётчики), корреляции (только |r|&gt;0.5) и графики — по выборке. Расшифровки колонок подтянуты из структур D002 (2022–2023), D008 и D004; D006 задан кодировщиком по вопросам и автоматически не расшифровывается. Данных D001 в выгрузке нет.</w:t>
      </w:r>
    </w:p>
    <w:p>
      <w:pPr>
        <w:pStyle w:val="Heading1"/>
      </w:pPr>
      <w:r>
        <w:t xml:space="preserve">3. master_wide по годам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38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2021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2022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2023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2024</w:t>
            </w:r>
          </w:p>
        </w:tc>
      </w:tr>
      <w:tr>
        <w:trPr>
          <w:cantSplit/>
        </w:trPr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Строк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167 472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170 724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170 756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167 284</w:t>
            </w:r>
          </w:p>
        </w:tc>
      </w:tr>
      <w:tr>
        <w:trPr>
          <w:cantSplit/>
        </w:trPr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Колонок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510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510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510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510</w:t>
            </w:r>
          </w:p>
        </w:tc>
      </w:tr>
      <w:tr>
        <w:trPr>
          <w:cantSplit/>
        </w:trPr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Домохозяйств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12 000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12 000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12 000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12 000</w:t>
            </w:r>
          </w:p>
        </w:tc>
      </w:tr>
      <w:tr>
        <w:trPr>
          <w:cantSplit/>
        </w:trPr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Пар «домохозяйство–лицо»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41 868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42 681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42 689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41 821</w:t>
            </w:r>
          </w:p>
        </w:tc>
      </w:tr>
      <w:tr>
        <w:trPr>
          <w:cantSplit/>
        </w:trPr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Лиц на домохозяйство-квартал (ср.)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3.49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3.56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3.56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3.49</w:t>
            </w:r>
          </w:p>
        </w:tc>
      </w:tr>
      <w:tr>
        <w:trPr>
          <w:cantSplit/>
        </w:trPr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Колонок с пропусками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496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494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494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493</w:t>
            </w:r>
          </w:p>
        </w:tc>
      </w:tr>
      <w:tr>
        <w:trPr>
          <w:cantSplit/>
        </w:trPr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Полностью пустых колонок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190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182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127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Константных колонок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70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89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105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94</w:t>
            </w:r>
          </w:p>
        </w:tc>
      </w:tr>
      <w:tr>
        <w:trPr>
          <w:cantSplit/>
        </w:trPr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Полных дубликатов / дубликатов по ключу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 / 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 / 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 / 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 / 0</w:t>
            </w:r>
          </w:p>
        </w:tc>
      </w:tr>
      <w:tr>
        <w:trPr>
          <w:cantSplit/>
        </w:trPr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Кодированных колонок (≤15 знач.)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290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300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355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355</w:t>
            </w:r>
          </w:p>
        </w:tc>
      </w:tr>
      <w:tr>
        <w:trPr>
          <w:cantSplit/>
        </w:trPr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Непрерывных колонок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Пар |r|&gt;0.5 (из них |r|≥0.99)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166 (3)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154 (6)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178 (6)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197 (6)</w:t>
            </w:r>
          </w:p>
        </w:tc>
      </w:tr>
      <w:tr>
        <w:trPr>
          <w:cantSplit/>
        </w:trPr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Пропуски TOTAL_EXPENDITURE, 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1.5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1.2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1.3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Средний % NA: D006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67.7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67.9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68.4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67.7</w:t>
            </w:r>
          </w:p>
        </w:tc>
      </w:tr>
      <w:tr>
        <w:trPr>
          <w:cantSplit/>
        </w:trPr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Средний % NA: D008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61.5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54.9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57.6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47.6</w:t>
            </w:r>
          </w:p>
        </w:tc>
      </w:tr>
      <w:tr>
        <w:trPr>
          <w:cantSplit/>
        </w:trPr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Средний % NA: D002 (ocenka)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92.2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91.9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90.5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90.5</w:t>
            </w:r>
          </w:p>
        </w:tc>
      </w:tr>
      <w:tr>
        <w:trPr>
          <w:cantSplit/>
        </w:trPr>
        <w:tc>
          <w:tcPr>
            <w:tcW w:type="dxa" w:w="4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Строк без данных D002, 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71.5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72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72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71.5</w:t>
            </w:r>
          </w:p>
        </w:tc>
      </w:tr>
    </w:tbl>
    <w:p>
      <w:pPr>
        <w:spacing w:after="120" w:line="288"/>
      </w:pPr>
      <w:r>
        <w:t xml:space="preserve"/>
      </w:r>
    </w:p>
    <w:p>
      <w:pPr>
        <w:spacing w:after="120" w:line="288"/>
      </w:pPr>
      <w:r>
        <w:rPr>
          <w:b/>
          <w:bCs/>
        </w:rPr>
        <w:t xml:space="preserve">Что видно. </w:t>
      </w:r>
      <w:r>
        <w:t xml:space="preserve">Структура и объём стабильны (≈167–171 тыс. строк, 12 000 домохозяйств, ~3,5 лица на домохозяйство-квартал), дубликатов нет. Число пустых колонок падает с 190 (2021) до 126 (2024), а кодированных растёт с 290 до 355 — это выглядит как расширение формы опросника, а не как улучшение качества.</w:t>
      </w:r>
    </w:p>
    <w:p>
      <w:pPr>
        <w:spacing w:after="120" w:line="288"/>
      </w:pPr>
      <w:r>
        <w:rPr>
          <w:b/>
          <w:bCs/>
        </w:rPr>
        <w:t xml:space="preserve">TOTAL_EXPENDITURE </w:t>
      </w:r>
      <w:r>
        <w:t xml:space="preserve">— показатель домохозяйства: значение повторяется по всем лицам домохозяйства в 100% случаев, пропусков 1.5–1.3%. Для анализа расходов данные нужно агрегировать до уровня домохозяйство × квартал, иначе крупные домохозяйства получают завышенный вес.</w:t>
      </w:r>
    </w:p>
    <w:p>
      <w:pPr>
        <w:spacing w:after="120" w:line="288"/>
      </w:pPr>
      <w:r>
        <w:rPr>
          <w:b/>
          <w:bCs/>
        </w:rPr>
        <w:t xml:space="preserve">Артефакты слияния. </w:t>
      </w:r>
      <w:r>
        <w:t xml:space="preserve">NOMER_x и NOMER_y совпадают менее чем в 1% строк, GODO_x/GODO_y пусты в ~72% строк — происхождение и назначение этих колонок неясны.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257550"/>
            <wp:effectExtent t="0" r="0" b="0" l="0"/>
            <wp:docPr id="1" name="w21_a" descr="master_wide 2021: пропуски и TOTAL_EXPENDITURE" title="master_wide 2021: пропуски и TOTAL_EXPENDI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Рис. 1. master_wide_2021: пропуски по группам, топ колонок по % NA, распределение и динамика TOTAL_EXPENDITURE.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257550"/>
            <wp:effectExtent t="0" r="0" b="0" l="0"/>
            <wp:docPr id="1" name="w24_a" descr="master_wide 2024: пропуски и TOTAL_EXPENDITURE" title="master_wide 2024: пропуски и TOTAL_EXPENDI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Рис. 2. master_wide_2024: те же показатели; сравнение с 2021 показывает снижение доли пропусков в D008.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1819275"/>
            <wp:effectExtent t="0" r="0" b="0" l="0"/>
            <wp:docPr id="1" name="cross" descr="Сравнение годов master_wide" title="Сравнение годов master_wi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Рис. 3. Расхождения заполненности и наборов значений между годами; средний % NA по группам колонок.</w:t>
      </w:r>
    </w:p>
    <w:p>
      <w:pPr>
        <w:spacing w:after="120" w:line="288"/>
      </w:pPr>
      <w:r>
        <w:rPr>
          <w:b/>
          <w:bCs/>
        </w:rPr>
        <w:t xml:space="preserve">Межгодовое сопоставление. </w:t>
      </w:r>
      <w:r>
        <w:t xml:space="preserve">Имена колонок идентичны (510), но 226 колонок пусты не во всех годах, а у 56 кодированных колонок набор значений резко меняется (D006 — 47, D002_ocenka — 5, D008 — 3, D002_subject — 1). Сопоставлять колонки по имени без кодбука по годам нельзя.</w:t>
      </w:r>
    </w:p>
    <w:p>
      <w:pPr>
        <w:pStyle w:val="Heading1"/>
      </w:pPr>
      <w:r>
        <w:t xml:space="preserve">4. D004: 12 частей опросника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200"/>
        <w:gridCol w:w="850"/>
        <w:gridCol w:w="1100"/>
        <w:gridCol w:w="2588"/>
        <w:gridCol w:w="1200"/>
        <w:gridCol w:w="140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Часть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Строк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Колонок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Домохоз.</w:t>
            </w:r>
          </w:p>
        </w:tc>
        <w:tc>
          <w:tcPr>
            <w:tcW w:type="dxa" w:w="2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Пропуски (топ)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Полн. дубли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Min/max по кварталам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kv_vopr_0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192 000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48 000</w:t>
            </w:r>
          </w:p>
        </w:tc>
        <w:tc>
          <w:tcPr>
            <w:tcW w:type="dxa" w:w="2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kv_vopr_1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4 391 820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47 810</w:t>
            </w:r>
          </w:p>
        </w:tc>
        <w:tc>
          <w:tcPr>
            <w:tcW w:type="dxa" w:w="2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PRIZ 100%, MESTPOK 50%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17 607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0.87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kv_vopr_2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998 776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47 823</w:t>
            </w:r>
          </w:p>
        </w:tc>
        <w:tc>
          <w:tcPr>
            <w:tcW w:type="dxa" w:w="2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TIME 5.4%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1 456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0.9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kv_vopr_3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422 130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47 811</w:t>
            </w:r>
          </w:p>
        </w:tc>
        <w:tc>
          <w:tcPr>
            <w:tcW w:type="dxa" w:w="2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1 329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0.9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kv_vopr_4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37 119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13 454</w:t>
            </w:r>
          </w:p>
        </w:tc>
        <w:tc>
          <w:tcPr>
            <w:tcW w:type="dxa" w:w="2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61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0.53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kv_vopr_5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74 202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27 510</w:t>
            </w:r>
          </w:p>
        </w:tc>
        <w:tc>
          <w:tcPr>
            <w:tcW w:type="dxa" w:w="2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222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0.79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kv_vopr_6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675 523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47 658</w:t>
            </w:r>
          </w:p>
        </w:tc>
        <w:tc>
          <w:tcPr>
            <w:tcW w:type="dxa" w:w="2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KOD 100%, NOMOTV 46.9%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4 046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0.76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kv_vopr_7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248 753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44 075</w:t>
            </w:r>
          </w:p>
        </w:tc>
        <w:tc>
          <w:tcPr>
            <w:tcW w:type="dxa" w:w="2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573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0.85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kv_vopr_9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917 692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20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47 824</w:t>
            </w:r>
          </w:p>
        </w:tc>
        <w:tc>
          <w:tcPr>
            <w:tcW w:type="dxa" w:w="2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EDIZ 84%, KODNU 77.8%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19 073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kv_vopr_10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166 793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29 759</w:t>
            </w:r>
          </w:p>
        </w:tc>
        <w:tc>
          <w:tcPr>
            <w:tcW w:type="dxa" w:w="2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NOMVNEW 45%, GR3 8.3%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0.47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kv_vopr_11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396 510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33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47 768</w:t>
            </w:r>
          </w:p>
        </w:tc>
        <w:tc>
          <w:tcPr>
            <w:tcW w:type="dxa" w:w="2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VOZ 25%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0.97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kv_vopr_12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91 166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21 166</w:t>
            </w:r>
          </w:p>
        </w:tc>
        <w:tc>
          <w:tcPr>
            <w:tcW w:type="dxa" w:w="2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GR1 86.4%, NOMOTV 81.2%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496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0.67</w:t>
            </w:r>
          </w:p>
        </w:tc>
      </w:tr>
    </w:tbl>
    <w:p>
      <w:pPr>
        <w:spacing w:after="120" w:line="288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Охват по годам и кварталам полный (2021–2024, без пустых ячеек «год × квартал»), но объём записей по кварталам неравномерен в kv_vopr_10 и 4 (min/max ≈ 0,5) и в kv_vopr_12 (≈ 0,7).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Части 4, 5, 10 и 12 содержат лишь 13–30 тыс. домохозяйств из 48 тыс. — это редкие категории расходов, а не сбой выгрузки, но при join'ах нужен LEFT JOIN и учёт отсутствия.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Денежное поле STOIMK и счётные величины сильно скошены вправо; выбросов по IQR 2–16% в выборках; в kv_vopr_9 и 11 большинство числовых колонок разрежены (IQR = 0), корреляции малоинформативны.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kv_vopr_9 — самая «дырявая» часть: 14 из 20 колонок с пропусками (EDIZ 84%, KODNU 78%) и максимум полных дубликатов (19 073; 2,1%). В kv_vopr_12 идентифицирующие поля пусты на 66–86% — вероятно, в таблице смешаны разные типы записей.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kv1" descr="kv_vopr_1" title="kv_vopr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Рис. 4. kv_vopr_1 (выборка 500 тыс. строк): распределение STOIMK, число строк по кварталам, топ значений KODNU, пропуски.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kv9" descr="kv_vopr_9" title="kv_vopr_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Рис. 5. kv_vopr_9: та же раскладка; видны множественные пустые поля.</w:t>
      </w:r>
    </w:p>
    <w:p>
      <w:pPr>
        <w:pStyle w:val="Heading1"/>
      </w:pPr>
      <w:r>
        <w:t xml:space="preserve">5. Связи между датасетами</w:t>
      </w:r>
    </w:p>
    <w:p>
      <w:pPr>
        <w:spacing w:after="120" w:line="288"/>
      </w:pPr>
      <w:r>
        <w:t xml:space="preserve">Гипотеза о ключе NOMER = год·10⁶ + HOUSEHOLD_ID выполняется во всех строках всех частей D004. Минимальное покрытие домохозяйств master_wide отдельной частью — 23.1% (редкие части), обратное покрытие (домохозяйства части, найденные в master_wide) — 100%.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700"/>
        <w:gridCol w:w="1700"/>
        <w:gridCol w:w="1700"/>
        <w:gridCol w:w="1769"/>
        <w:gridCol w:w="1769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Год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Лиц в master_wide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Лиц в kv_vopr_11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Найдено в обоих</w:t>
            </w:r>
          </w:p>
        </w:tc>
        <w:tc>
          <w:tcPr>
            <w:tcW w:type="dxa" w:w="1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 master найдено</w:t>
            </w:r>
          </w:p>
        </w:tc>
        <w:tc>
          <w:tcPr>
            <w:tcW w:type="dxa" w:w="1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 kv_11 найдено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41 868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26 368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26 368</w:t>
            </w:r>
          </w:p>
        </w:tc>
        <w:tc>
          <w:tcPr>
            <w:tcW w:type="dxa" w:w="1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63</w:t>
            </w:r>
          </w:p>
        </w:tc>
        <w:tc>
          <w:tcPr>
            <w:tcW w:type="dxa" w:w="1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42 681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26 503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26 503</w:t>
            </w:r>
          </w:p>
        </w:tc>
        <w:tc>
          <w:tcPr>
            <w:tcW w:type="dxa" w:w="1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62.1</w:t>
            </w:r>
          </w:p>
        </w:tc>
        <w:tc>
          <w:tcPr>
            <w:tcW w:type="dxa" w:w="1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42 689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26 404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26 404</w:t>
            </w:r>
          </w:p>
        </w:tc>
        <w:tc>
          <w:tcPr>
            <w:tcW w:type="dxa" w:w="1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61.9</w:t>
            </w:r>
          </w:p>
        </w:tc>
        <w:tc>
          <w:tcPr>
            <w:tcW w:type="dxa" w:w="1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41 821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25 900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25 900</w:t>
            </w:r>
          </w:p>
        </w:tc>
        <w:tc>
          <w:tcPr>
            <w:tcW w:type="dxa" w:w="1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61.9</w:t>
            </w:r>
          </w:p>
        </w:tc>
        <w:tc>
          <w:tcPr>
            <w:tcW w:type="dxa" w:w="1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</w:tr>
    </w:tbl>
    <w:p>
      <w:pPr>
        <w:spacing w:after="120" w:line="288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Каждое лицо из kv_vopr_11 найдено в master_wide (100%), обратно — лишь ~62%: критерий отбора лиц в kv_vopr_11 требует уточнения (например, только взрослые/опрашиваемые).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Согласованность денег: ранговая корреляция ΣSTOIMK и TOTAL_EXPENDITURE по домохозяйство-кварталу умеренная (ρ≈0,7 для частей 1 и 12; 0,2–0,5 для остальных). Это исследовательская проверка: смысл STOIMK по частям опросником не подтверждён.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Панельность: доля HOUSEHOLD_ID с прежними TE/K — 5.9% (2021→2022), 2.3% (2022→2023), 3% (2023→2024), то есть номера домохозяйств переиспользуются между годами.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009775"/>
            <wp:effectExtent t="0" r="0" b="0" l="0"/>
            <wp:docPr id="1" name="join" descr="Покрытие join" title="Покрытие jo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Рис. 6. Покрытие домохозяйств master_wide частями D004 и ранговая корреляция ΣSTOIMK с TOTAL_EXPENDITURE.</w:t>
      </w:r>
    </w:p>
    <w:p>
      <w:pPr>
        <w:pStyle w:val="Heading1"/>
      </w:pPr>
      <w:r>
        <w:t xml:space="preserve">6. Ключевые находки и проблемы качества данных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b/>
          <w:bCs/>
        </w:rPr>
        <w:t xml:space="preserve">Связность подтверждена: </w:t>
      </w:r>
      <w:r>
        <w:t xml:space="preserve">NOMER = год·10⁶ + HOUSEHOLD_ID, TE/K совпадают в 100%, дубликатов по ключу в master_wide нет.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b/>
          <w:bCs/>
        </w:rPr>
        <w:t xml:space="preserve">Много «мёртвых» колонок: </w:t>
      </w:r>
      <w:r>
        <w:t xml:space="preserve">126–190 из 510 пусты полностью, 70–105 константны; D002 заполнен лишь в ~28% строк.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b/>
          <w:bCs/>
        </w:rPr>
        <w:t xml:space="preserve">Формы менялись: </w:t>
      </w:r>
      <w:r>
        <w:t xml:space="preserve">226 колонок пусты не во всех годах; у 56 кодированных колонок набор значений резко меняется (47 — D006).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b/>
          <w:bCs/>
        </w:rPr>
        <w:t xml:space="preserve">Артефакты слияния: </w:t>
      </w:r>
      <w:r>
        <w:t xml:space="preserve">NOMER_x/NOMER_y совпадают в &lt;1% строк; GODO_x/GODO_y пусты в ~72%.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b/>
          <w:bCs/>
        </w:rPr>
        <w:t xml:space="preserve">TOTAL_EXPENDITURE — уровень домохозяйства, </w:t>
      </w:r>
      <w:r>
        <w:t xml:space="preserve">повторённый по лицам; пропусков 1,2–1,5%.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b/>
          <w:bCs/>
        </w:rPr>
        <w:t xml:space="preserve">Дубликаты в D004: </w:t>
      </w:r>
      <w:r>
        <w:t xml:space="preserve">полные дубликаты во всех частях, кроме 0 и 11 (kv_9 — 2,1%, kv_1 — 17,6 тыс.); естественный ключ частей не определён.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b/>
          <w:bCs/>
        </w:rPr>
        <w:t xml:space="preserve">Пустые и разреженные поля D004: </w:t>
      </w:r>
      <w:r>
        <w:t xml:space="preserve">PRIZ (kv_1) и KOD (kv_6) — 100% NA; в kv_9 и kv_12 многие поля пусты на 45–86%.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b/>
          <w:bCs/>
        </w:rPr>
        <w:t xml:space="preserve">Распределения: </w:t>
      </w:r>
      <w:r>
        <w:t xml:space="preserve">денежные и счётные величины скошены вправо, выбросы по IQR 2–16%; многие числовые колонки разрежены.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b/>
          <w:bCs/>
        </w:rPr>
        <w:t xml:space="preserve">Нумерация не панельная: </w:t>
      </w:r>
      <w:r>
        <w:t xml:space="preserve">HOUSEHOLD_ID с прежними TE/K в соседних годах — лишь 2–6%.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b/>
          <w:bCs/>
        </w:rPr>
        <w:t xml:space="preserve">Неполное покрытие: </w:t>
      </w:r>
      <w:r>
        <w:t xml:space="preserve">kv_11 охватывает ~62% лиц master_wide; kv_4, 5, 10, 12 — только часть домохозяйств; кварталы в kv_10 и kv_4 представлены неравномерно.</w:t>
      </w:r>
    </w:p>
    <w:p>
      <w:pPr>
        <w:pStyle w:val="Heading1"/>
      </w:pPr>
      <w:r>
        <w:t xml:space="preserve">7. Рекомендации для дальнейшей работы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Собрать кодбук «колонка × год → смысл/шкала», </w:t>
      </w:r>
      <w:r>
        <w:t xml:space="preserve">начав с помеченных 56+226 колонок и блока D006; до этого не объединять годы в один ряд.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Очистить master_wide: </w:t>
      </w:r>
      <w:r>
        <w:t xml:space="preserve">убрать пустые/константные колонки и артефакты _x/_y, кодированные признаки хранить как category, целевые таблицы — в parquet.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Выбрать корректный уровень анализа: </w:t>
      </w:r>
      <w:r>
        <w:t xml:space="preserve">расходы — домохозяйство × квартал; лица — HOUSEHOLD_ID + NOMP; уточнить наличие весов репрезентативности.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D004: </w:t>
      </w:r>
      <w:r>
        <w:t xml:space="preserve">по структуре определить ключ каждой части, затем удалить полные дубликаты (после сверки с источником); исключить PRIZ и KOD.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Денежные величины: </w:t>
      </w:r>
      <w:r>
        <w:t xml:space="preserve">логарифм/винзоризация для моделей; для сравнения лет нужна дефляция номинальных значений.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Вопросы владельцам данных: </w:t>
      </w:r>
      <w:r>
        <w:t xml:space="preserve">критерий отбора лиц в kv_vopr_11, причина заполненности D002 лишь в ~28% строк, неравномерность кварталов в kv_10/kv_4, нумерация домохозяйств между годами.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b/>
          <w:bCs/>
        </w:rPr>
        <w:t xml:space="preserve">Следующий шаг EDA: </w:t>
      </w:r>
      <w:r>
        <w:t xml:space="preserve">тематические срезы (TE/K, размер домохозяйства, кварталы) после согласования кодбука; сравнение годов только для колонок с подтверждённой сопоставимостью.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8"/>
        <w:szCs w:val="18"/>
      </w:rPr>
      <w:t xml:space="preserve">Стр.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Calibri" w:hAnsi="Calibri"/>
      <w:b/>
      <w:bCs/>
      <w:color w:val="2F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5c5076d1f3eaa1732029ca4dfe485528fb11548.png"/><Relationship Id="rId9" Type="http://schemas.openxmlformats.org/officeDocument/2006/relationships/image" Target="media/e10576f491616face6f7f4231260f6c7ab6cea2e.png"/><Relationship Id="rId10" Type="http://schemas.openxmlformats.org/officeDocument/2006/relationships/image" Target="media/f3f35dc1a0f3bd00613cca2a2058b0cf83520e89.png"/><Relationship Id="rId11" Type="http://schemas.openxmlformats.org/officeDocument/2006/relationships/image" Target="media/0f83f11ff60be70d0fc73db97e7b5c44906c0c98.png"/><Relationship Id="rId12" Type="http://schemas.openxmlformats.org/officeDocument/2006/relationships/image" Target="media/d510602904f1f67895f79d66968829f85c72b077.png"/><Relationship Id="rId13" Type="http://schemas.openxmlformats.org/officeDocument/2006/relationships/image" Target="media/e8941de3b8db24f17578f6a94a122a93fd8cc22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EDA: D004, D002, D006, D008 (2021–2024)</dc:title>
  <dc:creator>Claude</dc:creator>
  <cp:lastModifiedBy>Un-named</cp:lastModifiedBy>
  <cp:revision>1</cp:revision>
  <dcterms:created xsi:type="dcterms:W3CDTF">2026-09-29T05:16:02.291Z</dcterms:created>
  <dcterms:modified xsi:type="dcterms:W3CDTF">2026-09-29T05:16:02.291Z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