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Описательный анализ (EDA)</w:t>
      </w:r>
    </w:p>
    <w:p>
      <w:pPr>
        <w:spacing w:after="2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Агрегированные данные форм 1-Т и 2-Т, 2021–2024</w:t>
      </w:r>
    </w:p>
    <w:p>
      <w:pPr>
        <w:pBdr>
          <w:bottom w:val="single" w:color="1F3864" w:sz="8" w:space="4"/>
        </w:pBdr>
        <w:spacing w:after="30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8 файлов CSV, ≈ 37 млн строк, ≈ 2,7 ГБ. Отчёт сопровождает ноутбук analysis.ipynb, где приведены все расчёты и графики.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Дата: 29 сентября 2026 г.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Резюме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Три главных вывода: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Связать предприятия между файлами нельзя. </w:t>
      </w:r>
      <w:r>
        <w:rPr>
          <w:rFonts w:ascii="Calibri" w:cs="Calibri" w:eastAsia="Calibri" w:hAnsi="Calibri"/>
          <w:sz w:val="22"/>
          <w:szCs w:val="22"/>
        </w:rPr>
        <w:t xml:space="preserve">Пересечение ID равно нулю между всеми парами файлов: и между 1-Т и 2-Т одного года, и между соседними годами. Панельный анализ и join по предприятию недоступны без таблицы соответствия.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Схема и справочники меняются каждый год. </w:t>
      </w:r>
      <w:r>
        <w:rPr>
          <w:rFonts w:ascii="Calibri" w:cs="Calibri" w:eastAsia="Calibri" w:hAnsi="Calibri"/>
          <w:sz w:val="22"/>
          <w:szCs w:val="22"/>
        </w:rPr>
        <w:t xml:space="preserve">В 1-Т значение показателя лежит в GR1 (2021–2023) и в VAL_NUM (2024); в 2024 KATO стал 9-значным, OKED — 4–5-значным; 2-Т 2024 снят на апрель, а не на конец года.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Есть проблемы качества. </w:t>
      </w:r>
      <w:r>
        <w:rPr>
          <w:rFonts w:ascii="Calibri" w:cs="Calibri" w:eastAsia="Calibri" w:hAnsi="Calibri"/>
          <w:sz w:val="22"/>
          <w:szCs w:val="22"/>
        </w:rPr>
        <w:t xml:space="preserve">В 1-Т 32–33% строк повторяют комбинацию измерений с другим значением, полные дубликаты — 3,5%. Восемь кодовых колонок заполнены менее чем на 12%. Итоговые строки (SP=0) занимают около 39% строк 1-Т. Значения сильно скошены (skew до 128).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Данные и методика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Формат «длинный»: одна строка — значение одного статистического показателя (KCP) в разрезе кодовых измерений (пол, занятие, регион, ОКЭД и др.). Файлы прочитаны чанками по 400 тыс. строк.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Точно по всем строкам: </w:t>
      </w:r>
      <w:r>
        <w:rPr>
          <w:rFonts w:ascii="Calibri" w:cs="Calibri" w:eastAsia="Calibri" w:hAnsi="Calibri"/>
          <w:sz w:val="22"/>
          <w:szCs w:val="22"/>
        </w:rPr>
        <w:t xml:space="preserve">shape, пропуски, дубликаты, частоты кодов, min/max.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 выборке 3% (seed=1): </w:t>
      </w:r>
      <w:r>
        <w:rPr>
          <w:rFonts w:ascii="Calibri" w:cs="Calibri" w:eastAsia="Calibri" w:hAnsi="Calibri"/>
          <w:sz w:val="22"/>
          <w:szCs w:val="22"/>
        </w:rPr>
        <w:t xml:space="preserve">describe, асимметрия, выбросы IQR (только счётчики), корреляции.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 каждому KCP отдельно: </w:t>
      </w:r>
      <w:r>
        <w:rPr>
          <w:rFonts w:ascii="Calibri" w:cs="Calibri" w:eastAsia="Calibri" w:hAnsi="Calibri"/>
          <w:sz w:val="22"/>
          <w:szCs w:val="22"/>
        </w:rPr>
        <w:t xml:space="preserve">значения разных показателей (численность, зарплата, часы) несопоставимы.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Расшифровки </w:t>
      </w:r>
      <w:r>
        <w:rPr>
          <w:rFonts w:ascii="Calibri" w:cs="Calibri" w:eastAsia="Calibri" w:hAnsi="Calibri"/>
          <w:sz w:val="22"/>
          <w:szCs w:val="22"/>
        </w:rPr>
        <w:t xml:space="preserve">колонок взяты из файлов структуры; для 8 полей (SH, KPOP, AKT, KFS, KOPF, KSE, GSGTPE, SPVD) расшифровки нет.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Гипотеза: </w:t>
      </w:r>
      <w:r>
        <w:rPr>
          <w:rFonts w:ascii="Calibri" w:cs="Calibri" w:eastAsia="Calibri" w:hAnsi="Calibri"/>
          <w:sz w:val="22"/>
          <w:szCs w:val="22"/>
        </w:rPr>
        <w:t xml:space="preserve">в 1-Т 2021–2023 значением считается GR1. В структуре он описан как справочник ФЗП, но по данным это числовая величина с тяжёлым хвостом. Требует подтверждения.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1100"/>
        <w:gridCol w:w="1700"/>
        <w:gridCol w:w="1300"/>
        <w:gridCol w:w="1400"/>
        <w:gridCol w:w="1238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Датасет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Строк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Колонок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Колонка значения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Память, МБ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Уник. ID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KCP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1-Т 2021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7 721 951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1 611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70 874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1-Т 2022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8 285 961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1 855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77 994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1-Т 2023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8 574 325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1 984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83 754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1-Т 2024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5 443 662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VAL_NUM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1 716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52 289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2-Т 2021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1 884 114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VAL_NUM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380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15 679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2-Т 2022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1 708 363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VAL_NUM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384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14 613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2-Т 2023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1 748 127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VAL_NUM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392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15 820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2-Т 2024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1 988 210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VAL_NUM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507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17 159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</w:tr>
    </w:tbl>
    <w:p>
      <w:pPr>
        <w:spacing w:after="200" w:before="80"/>
      </w:pPr>
      <w:r>
        <w:rPr>
          <w:rFonts w:ascii="Calibri" w:cs="Calibri" w:eastAsia="Calibri" w:hAnsi="Calibri"/>
          <w:sz w:val="22"/>
          <w:szCs w:val="22"/>
        </w:rPr>
        <w:t xml:space="preserve">Данные о размерах: память — при полной загрузке в pandas.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Динамика объёма и структуры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962150"/>
            <wp:effectExtent t="0" r="0" b="0" l="0"/>
            <wp:docPr id="1" name="f1.png" descr="Рис. 1. Число строк и уникальных ID по годам" title="Рис. 1. Число строк и уникальных ID по год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Рис. 1. Число строк и уникальных ID по годам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Число строк и ID в 1-Т росло с 2021 по 2023 (+11% строк), а в 2024 упало примерно на треть (5,4 млн строк, 52 тыс. ID против 84 тыс. в 2023) — возможно, неполный охват отчётности. В 2-Т объём растёт до 2024, при этом срез 2024 снят на апрель.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3.1. Изменения схемы по годам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Год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1-Т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2-Т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2021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16 колонок, значение — GR1; периода (RYEAR/RMONTH) в данных нет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 колонок, VAL_NUM; периода нет; SH пуста на 100%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2022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+RMONTH, RYEAR (константы: 12, 2022)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+RYEAR, SPPN, SPPN1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2023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+SPTM1 (тип местности)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структура та же, что в 2022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2024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30 колонок: VAL_NUM вместо GR1, +KATO1, OKED1/2, KPOP, AKT, KFS, KOPF, KSE, KRP, SPTM, GSGTPE, SPVD; RMONTH исчез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колонок: KATO1/OKED1 вместо KATO/OKED, +RMONTH=4, SPTM, GSGTPE, SPVD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2"/>
          <w:szCs w:val="22"/>
        </w:rPr>
        <w:t xml:space="preserve">Из-за этого одноимённые колонки нельзя считать эквивалентными без проверки. Например, SPPN в 2-Т по данным — порядковый номер (1, 2, 3…), а в справочниках 2019–2023 описан как год приёма.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Качество данных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4.1. Дубликаты и константы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019300"/>
            <wp:effectExtent t="0" r="0" b="0" l="0"/>
            <wp:docPr id="1" name="f2.png" descr="Рис. 2. Доля полных дубликатов и дубликатов по измерениям" title="Рис. 2. Доля полных дубликатов и дубликатов по измер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Рис. 2. Доля полных дубликатов и дубликатов по измерениям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2900"/>
        <w:gridCol w:w="2138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Датасет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Полные дубликаты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По измерениям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Константные колонки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Макс. значение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1-Т 2021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3.48%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32.9%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21 736 750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1-Т 2022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3.56%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32.4%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RMONTH, RYEAR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20 583 050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1-Т 2023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3.52%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32.0%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RMONTH, RYEAR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71 862 724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1-Т 2024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3.63%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33.0%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RYEAR, SPVD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20 286 817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2-Т 2021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1.28%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7.3%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11 354 000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2-Т 2022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0.03%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0.5%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RYEAR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12 300 000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2-Т 2023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0.05%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0.5%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RYEAR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19 449 100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2-Т 2024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0.02%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0.2%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RMONTH, RYEAR, SPVD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17 800 000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2"/>
          <w:szCs w:val="22"/>
        </w:rPr>
        <w:t xml:space="preserve">Ключ строки не определён: в 1-Т треть строк дублирует комбинацию измерений с другим значением. В 2-Т 2021 дубликатов заметно больше (7,3%), чем в последующие годы (≤0,5%).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4.2. Пропуски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133600"/>
            <wp:effectExtent t="0" r="0" b="0" l="0"/>
            <wp:docPr id="1" name="f3.png" descr="Рис. 3. Пропуски по колонкам (1-Т 2023 и 2-Т 2023)" title="Рис. 3. Пропуски по колонкам (1-Т 2023 и 2-Т 202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Рис. 3. Пропуски по колонкам (1-Т 2023 и 2-Т 2023)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1-Т: 8 из 11 кодовых колонок пусты на 88–100% — формат разреженный, поле заполняется только для «своих» KCP. SVDOB заполнена на 0,2%.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2-Т: атрибуты пусты на 1,8%, вероятно, это строки KCP 251414 без разбивок; SH пуста на 100% во всех годах.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OKED2 (1-Т 2024) пуста на 100%.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4.3. Выбросы и асимметрия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657350"/>
            <wp:effectExtent t="0" r="0" b="0" l="0"/>
            <wp:docPr id="1" name="f5.png" descr="Рис. 4. Распределение значений по топ-3 KCP, 1-Т 2023 (логарифмическая шкала)" title="Рис. 4. Распределение значений по топ-3 KCP, 1-Т 2023 (логарифмическая шкал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Рис. 4. Распределение значений по топ-3 KCP, 1-Т 2023 (логарифмическая шкала)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Значения сильно скошены вправо (skew 13–128 у главных KCP 1-Т), доля выбросов по IQR — 5–14% в 1-Т и 5–35% в 2-Т. Это естественный хвост крупных предприятий, но не обязательно ошибки. Максимум GR1 в 2023 (71,9 млн) втрое выше соседних лет — стоит проверить отдельно.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4.4. Итоговые строки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Значение SP=0 («всего») составляет около 39% строк 1-Т и около 1% строк 2-Т. При суммировании вместе с разбивкой по полу возникает двойной счёт.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4.5. Корреляции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В 1-Т 2021–2023 пар с |r| &gt; 0.5 нет. В 1-Т 2024 избыточны пары KATO1–KATO (0,998), OKED1–OKED (0,996), SPTM1–SPTM (0,995). В 2-Т единственная значимая связь KCP–VAL_NUM (r от −0,54 до −0,66) — артефакт смешения шкал разных показателей.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Показатели оплаты труда (2-Т)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962150"/>
            <wp:effectExtent t="0" r="0" b="0" l="0"/>
            <wp:docPr id="1" name="f4.png" descr="Рис. 5. Медиана ср. месячной з/п и структура найма по году приёма" title="Рис. 5. Медиана ср. месячной з/п и структура найма по году приё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Рис. 5. Медиана ср. месячной з/п и структура найма по году приёма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В 2-Т четыре показателя во всех годах: 251414 (численность), 252101 (ср. мес. номинальная з/п, тенге), 25240401 (часы на одного работника), 25220313 (ФЗП одного работника, тыс. тенге). Медиана 252101 выросла с 142 до 236 тыс. тенге (2021→2024), но срезы неодинаковы по периоду, а формы менялись, поэтому сравнивать осторожно. Пик найма по SPPN2 приходится на последний полный год перед отчётным, найм в 2024 неполный. Месяц найма (SM) имеет пик в сентябре.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Связи между датасетами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6.1. Общие ID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ID — псевдонимизированные токены: 20 символов в 1-Т, 16 в 2-Т, начинаются с «S-». Пересечение множеств ID равно нулю во всех парах файлов, поэтому доля удержания предприятий между годами и покрытие join’ов 1-Т↔2-Т равны 0.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6.2. Справочники KATO, OKED, KCP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KATO: в 2021–2023 2-значный (17–20 регионов); в 2024 9-значный. Первые 2 цифры 2024 совпадают с прежними 20 регионами.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OKED: в 2021–2023 1–2 цифры (коды 1–9, вероятно, потеряли ведущие нули); в 2024 4–5 цифр (527 значений в 1-Т).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KCP: в 1-Т 38 кодов общие для всех лет (38, 46, 46, 40 по годам); в 2-Т одни и те же 4.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Ключевые находки и проблемы качества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ID не связывают датасеты: пересечение равно нулю между всеми файлами.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Нет явного ключа строки: 32–33% строк 1-Т дублируют измерения с другим значением; полные дубликаты 3,5%.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Схема плавает по годам: GR1 → VAL_NUM, новые поля в 2024, RMONTH/RYEAR только с 2022, в 1-Т 2021 периода нет.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Гранулярность справочников изменилась в 2024: KATO 2 → 9 цифр, OKED 2 → 4–5 цифр; OKED 1–9 без ведущих нулей.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Разреженный формат: 8 колонок 1-Т пусты на 88–100%; SH и OKED2 пусты полностью.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Итоговые строки SP=0 (~39% строк 1-Т) создают риск двойного счёта.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Разные срезы периода: 1-Т — конец года (RMONTH=12 в 2022–2023), 2-Т 2024 — апрель; 1-Т 2024 короче примерно на треть.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Тяжёлые хвосты: skew до 128, выбросы IQR 5–35%; максимум GR1 2023 = 71,9 млн.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Избыточные и нерасшифрованные поля: KATO1/KATO, OKED1/OKED, SPTM1/SPTM (r&gt;0,99); KPOP, AKT, KFS, KOPF, KSE, GSGTPE, SH, SPVD без описания.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Расхождения структур: SPPN по данным — порядковый номер, в справочниках — год приёма; GR1 описан как справочник, а по данным число.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Рекомендации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Уточнить у поставщика: есть ли таблица соответствия ID; подтвердить GR1 как значение; получить расшифровки SH, KPOP, AKT, KFS, KOPF, KSE.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Не строить панель по ID; работать на уровне агрегатов: регион (KATO до 2 цифр), ОКЭД (2-значный раздел), KCP, пол.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Привести данные к единой схеме: value, year, month, form; перекодировать KATO/OKED 2024 до 2 цифр, вернуть ведущие нули OKED 2021–2023.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Согласовать ключ дедупликации; удалять полные дубликаты, а строки с разными значениями проверять отдельно.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Исключать итоговые строки (SP=0) при суммировании или использовать их как контрольные суммы.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Не сравнивать 2-Т 2024 (апрель) с 2021–2023 напрямую; выяснить причину меньшего охвата в 1-Т 2024.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Анализировать хвосты через логарифмы и медианы, не удалять выбросы без проверки; отдельно проверить максимум GR1 2023.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Хранить данные в parquet, читать 1-Т чанками или через usecols; при моделировании сначала фильтровать по KCP.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Следующий шаг: профили KCP 251401, 252203, 252101, 251414 по регионам и ОКЭД, годовая динамика с учётом смены форм.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feb21f4b4725dd4408fb21c5a2b9e76e9802085.png"/><Relationship Id="rId9" Type="http://schemas.openxmlformats.org/officeDocument/2006/relationships/image" Target="media/c70adb1dd0bc6e5fe655c38bf31dc34eee0579e8.png"/><Relationship Id="rId10" Type="http://schemas.openxmlformats.org/officeDocument/2006/relationships/image" Target="media/058ec30ac85fe4ab796c7e63057b011adbd68575.png"/><Relationship Id="rId11" Type="http://schemas.openxmlformats.org/officeDocument/2006/relationships/image" Target="media/654bf9d5857f6683734ac9baeeb1e435bc9bde86.png"/><Relationship Id="rId12" Type="http://schemas.openxmlformats.org/officeDocument/2006/relationships/image" Target="media/4c790d2df7cda7d3a1aaaf5a75864a9fa3729e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2026-09-29T08:18:22.490Z</dcterms:created>
  <dcterms:modified xsi:type="dcterms:W3CDTF">2026-09-29T08:18:22.491Z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