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</w:pPr>
      <w:r>
        <w:rPr>
          <w:b/>
          <w:bCs/>
          <w:color w:val="1F3864"/>
          <w:sz w:val="48"/>
          <w:szCs w:val="48"/>
        </w:rPr>
        <w:t xml:space="preserve">Описательный анализ данных Т-001</w:t>
      </w:r>
    </w:p>
    <w:p>
      <w:pPr>
        <w:spacing w:after="200"/>
      </w:pPr>
      <w:r>
        <w:rPr>
          <w:color w:val="404040"/>
          <w:sz w:val="32"/>
          <w:szCs w:val="32"/>
        </w:rPr>
        <w:t xml:space="preserve">Обследование рабочей силы, 2021–2024</w:t>
      </w:r>
    </w:p>
    <w:p>
      <w:pPr>
        <w:pBdr>
          <w:bottom w:val="single" w:color="1F3864" w:sz="8" w:space="4"/>
        </w:pBdr>
        <w:spacing w:after="300"/>
      </w:pPr>
    </w:p>
    <w:p>
      <w:pPr>
        <w:spacing w:after="120" w:line="276"/>
      </w:pPr>
      <w:r>
        <w:t xml:space="preserve">Отчёт по результатам EDA четырёх годовых выгрузок (2021.csv – 2024.csv) и архива со структурами датасетов. Полный расчёт с таблицами и графиками — в файле analysis.ipynb.</w:t>
      </w:r>
    </w:p>
    <w:p>
      <w:pPr>
        <w:spacing w:after="120" w:line="276"/>
      </w:pPr>
      <w:r>
        <w:rPr>
          <w:b/>
          <w:bCs/>
        </w:rPr>
        <w:t xml:space="preserve">Дата отчёта: </w:t>
      </w:r>
      <w:r>
        <w:t xml:space="preserve">29.09.2026</w:t>
      </w:r>
    </w:p>
    <w:p>
      <w:pPr>
        <w:pStyle w:val="Heading1"/>
      </w:pPr>
      <w:r>
        <w:t xml:space="preserve">1. Краткое резюме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Природа данных. </w:t>
      </w:r>
      <w:r>
        <w:t xml:space="preserve">В CSV лежат микроданные респондентов (около 470 тыс. строк в год, 39–40 колонок), а не агрегаты. Всего около 1,9 млн строк. Значения — числовые коды ответов анкеты.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Связать годы нельзя. </w:t>
      </w:r>
      <w:r>
        <w:t xml:space="preserve">Уникального ID респондента нет; совпадение по псевдоключу между соседними годами (около 88 %) не отличается от случайного (около 87 %). Панельный анализ не подтверждается.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Анкета менялась. </w:t>
      </w:r>
      <w:r>
        <w:t xml:space="preserve">Набор колонок, набор кодов и логика пропусков различаются по годам; в 10 из 37 общих колонок есть признаки несопоставимости.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Качество приемлемое, но с оговорками. </w:t>
      </w:r>
      <w:r>
        <w:t xml:space="preserve">Возраст и даты согласованы (не менее 99,9 %), полные дубликаты — 0,14 % в 2022–2024 и 1,27 % в 2021, четыре колонки пусты на 90–99 % по структурным причинам.</w:t>
      </w:r>
    </w:p>
    <w:p>
      <w:pPr>
        <w:pStyle w:val="Heading1"/>
      </w:pPr>
      <w:r>
        <w:t xml:space="preserve">2. Данные и методика</w:t>
      </w:r>
    </w:p>
    <w:p>
      <w:pPr>
        <w:spacing w:after="120" w:line="276"/>
      </w:pPr>
      <w:r>
        <w:t xml:space="preserve">Входные файлы: четыре CSV по ~40 МБ (кодировка ASCII, разделитель «,») и архив со структурами (.doc за 2016–2022 и 2022–2024) и справочником аббревиатур (.xlsx). Все поля читались как строки, чтобы сохранить ведущие нули в кодах (06, 048); количественные поля (год рождения, возраст vosr, число проживающих, дни и часы работы) затем приведены к числам, остальные — к категориям (память сократилась с ~810 до ~42 МБ на год).</w:t>
      </w:r>
    </w:p>
    <w:p>
      <w:pPr>
        <w:spacing w:after="120" w:line="276"/>
      </w:pPr>
      <w:r>
        <w:t xml:space="preserve">Для каждого года посчитаны: размерность и типы, пропуски, дубликаты (полные и по псевдоключу), описательная статистика и выбросы по IQR, топ-5 значений категорий, проверки дат, корреляции с |r| &gt; 0,5. Между годами сравнивались состав колонок, наборы кодов, пропуски и сдвиг распределения (расстояние полной вариации, TV). Названия колонок не переводились; трактовка кодов ограничена справочником аббревиатур.</w:t>
      </w:r>
    </w:p>
    <w:p>
      <w:pPr>
        <w:pStyle w:val="Heading1"/>
        <w:pageBreakBefore/>
      </w:pPr>
      <w:r>
        <w:t xml:space="preserve">3. Профиль по годам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600"/>
        <w:gridCol w:w="1600"/>
        <w:gridCol w:w="1600"/>
        <w:gridCol w:w="1646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Показатель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2021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2022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2023</w:t>
            </w:r>
          </w:p>
        </w:tc>
        <w:tc>
          <w:tcPr>
            <w:tcW w:type="dxa" w:w="1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Строк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472 456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467 667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475 635</w:t>
            </w:r>
          </w:p>
        </w:tc>
        <w:tc>
          <w:tcPr>
            <w:tcW w:type="dxa" w:w="1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469 352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Колонок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39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40</w:t>
            </w:r>
          </w:p>
        </w:tc>
        <w:tc>
          <w:tcPr>
            <w:tcW w:type="dxa" w:w="1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40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Колонок с пропусками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21</w:t>
            </w:r>
          </w:p>
        </w:tc>
        <w:tc>
          <w:tcPr>
            <w:tcW w:type="dxa" w:w="1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22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Колонок с пропусками ≥ 90 %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1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Полные дубликаты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5 993 (1,27 %)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645 (0,14 %)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684 (0,14 %)</w:t>
            </w:r>
          </w:p>
        </w:tc>
        <w:tc>
          <w:tcPr>
            <w:tcW w:type="dxa" w:w="1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652 (0,14 %)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Год рождения, диапазон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1915–2006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1906–2007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1922–2008</w:t>
            </w:r>
          </w:p>
        </w:tc>
        <w:tc>
          <w:tcPr>
            <w:tcW w:type="dxa" w:w="1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1923–2009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vosr согласован с годом рождения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99,9 %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99,9 %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99,9 %</w:t>
            </w:r>
          </w:p>
        </w:tc>
        <w:tc>
          <w:tcPr>
            <w:tcW w:type="dxa" w:w="1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100 %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vosr &gt; 100 (строк)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15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1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ZAN_VREMYA_2 = 0 (строк)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5 704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5 427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5 347</w:t>
            </w:r>
          </w:p>
        </w:tc>
        <w:tc>
          <w:tcPr>
            <w:tcW w:type="dxa" w:w="1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4 519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Поле времени опроса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нет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mes, kv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mes, kv</w:t>
            </w:r>
          </w:p>
        </w:tc>
        <w:tc>
          <w:tcPr>
            <w:tcW w:type="dxa" w:w="1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mes, kv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b/>
          <w:bCs/>
        </w:rPr>
        <w:t xml:space="preserve">Пропуски. </w:t>
      </w:r>
      <w:r>
        <w:t xml:space="preserve">Почти пустые колонки — PRICH_ZANV (только с 2022), DRB_PKHDHL, PRD_STATUS, LP_POTREBL. Это, скорее всего, результат маршрутизации анкеты (вопрос задавался узкой группе), поэтому доли нужно считать от подгруппы, а не от всех строк. Блок вопросов об основной работе (ORB_*, ZAN_VREMYA_*) пуст примерно на треть — это неработающие респонденты.</w:t>
      </w:r>
    </w:p>
    <w:p>
      <w:pPr>
        <w:spacing w:after="120" w:line="276"/>
      </w:pPr>
      <w:r>
        <w:rPr>
          <w:b/>
          <w:bCs/>
        </w:rPr>
        <w:t xml:space="preserve">Числовые поля. </w:t>
      </w:r>
      <w:r>
        <w:t xml:space="preserve">Часы работы (ZAN_VREMYA_2, ORB_PRODOL_2) дают 26–32 % «выбросов» по IQR: распределение сжато около 40 часов, поэтому правило IQR здесь не годится, а не данные ошибочны. Подозрительны нули в ZAN_VREMYA_2 (4,5–5,7 тыс. строк в год) и единичные vosr &gt; 100.</w:t>
      </w:r>
    </w:p>
    <w:p>
      <w:pPr>
        <w:spacing w:after="120" w:line="276"/>
      </w:pPr>
      <w:r>
        <w:rPr>
          <w:b/>
          <w:bCs/>
        </w:rPr>
        <w:t xml:space="preserve">Корреляции. </w:t>
      </w:r>
      <w:r>
        <w:t xml:space="preserve">Среди числовых сильны связи ZAN_VREMYA_1–ORB_PRODOL_1 (r ≈ 0,92–0,93) и ZAN_VREMYA_2–ORB_PRODOL_2 (r ≈ 0,96–0,97), то есть фактические и обычные часы почти совпадают; DH_DATROZH_3 и vosr связаны как r ≈ −1 (один признак дублирует другой). Среди категориальных (V Крамера &gt; 0,5) сильные пары структурны — например PR_NEPOISK–ZAN_RABOTA и ORB_TRDDOG–PRD_STATUS: вопросы адресованы взаимоисключающим группам, содержательного вывода отсюда нет.</w:t>
      </w:r>
    </w:p>
    <w:p>
      <w:pPr>
        <w:spacing w:after="120" w:line="276"/>
      </w:pPr>
      <w:r>
        <w:rPr>
          <w:b/>
          <w:bCs/>
        </w:rPr>
        <w:t xml:space="preserve">Время. </w:t>
      </w:r>
      <w:r>
        <w:t xml:space="preserve">В 2022–2024 присутствуют все 12 месяцев, квартал kv согласуется с месяцем mes; в 2021 времени опроса нет, доступна только годовая гранулярность.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019425"/>
            <wp:effectExtent t="0" r="0" b="0" l="0"/>
            <wp:docPr id="1" name="Рис. 1. Профиль датасета 2021: пропуски, распределения, корреляции" descr="Рис. 1. Профиль датасета 2021: пропуски, распределения, корреляции" title="Рис. 1. Профиль датасета 2021: пропуски, распределения, корреляц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Рис. 1. Профиль датасета 2021: пропуски, распределения, корреляции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3019425"/>
            <wp:effectExtent t="0" r="0" b="0" l="0"/>
            <wp:docPr id="1" name="Рис. 2. Профиль датасета 2024: пропуски, распределения, динамика по месяцам" descr="Рис. 2. Профиль датасета 2024: пропуски, распределения, динамика по месяцам" title="Рис. 2. Профиль датасета 2024: пропуски, распределения, динамика по месяц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Рис. 2. Профиль датасета 2024: пропуски, распределения, динамика по месяцам</w:t>
      </w:r>
    </w:p>
    <w:p>
      <w:pPr>
        <w:pStyle w:val="Heading1"/>
      </w:pPr>
      <w:r>
        <w:t xml:space="preserve">4. Сопоставимость лет</w:t>
      </w:r>
    </w:p>
    <w:p>
      <w:pPr>
        <w:spacing w:after="120" w:line="276"/>
      </w:pPr>
      <w:r>
        <w:t xml:space="preserve">Общих колонок для всех четырёх лет — 37 из 42. Различия в составе: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600"/>
        <w:gridCol w:w="1600"/>
        <w:gridCol w:w="1600"/>
        <w:gridCol w:w="1646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Колонка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2021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2022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2023</w:t>
            </w:r>
          </w:p>
        </w:tc>
        <w:tc>
          <w:tcPr>
            <w:tcW w:type="dxa" w:w="1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DH_PROZHIV_5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есть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1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ORB_CHISRB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есть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1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PRICH_ZANV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есть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есть</w:t>
            </w:r>
          </w:p>
        </w:tc>
        <w:tc>
          <w:tcPr>
            <w:tcW w:type="dxa" w:w="1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есть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есть</w:t>
            </w:r>
          </w:p>
        </w:tc>
        <w:tc>
          <w:tcPr>
            <w:tcW w:type="dxa" w:w="1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kv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есть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есть</w:t>
            </w:r>
          </w:p>
        </w:tc>
        <w:tc>
          <w:tcPr>
            <w:tcW w:type="dxa" w:w="1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есть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Из 37 общих колонок 10 имеют признаки несопоставимости (скачок пропусков более 10 п.п., смена набора кодов или TV-сдвиг более 0,10):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900"/>
        <w:gridCol w:w="144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Колонка</w:t>
            </w:r>
          </w:p>
        </w:tc>
        <w:tc>
          <w:tcPr>
            <w:tcW w:type="dxa" w:w="5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Что изменилось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TV max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DH_OBRAZOV</w:t>
            </w:r>
          </w:p>
        </w:tc>
        <w:tc>
          <w:tcPr>
            <w:tcW w:type="dxa" w:w="5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с 2022 появился код 9 (8 → 9 кодов)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0,284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TE</w:t>
            </w:r>
          </w:p>
        </w:tc>
        <w:tc>
          <w:tcPr>
            <w:tcW w:type="dxa" w:w="5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17 кодов в 2021 → 20 с 2022 (новые 10, 33, 62)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0,117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DRB_PKHDHL</w:t>
            </w:r>
          </w:p>
        </w:tc>
        <w:tc>
          <w:tcPr>
            <w:tcW w:type="dxa" w:w="5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с 2022 новый код 5; пропуски 97 → 99,5 %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0,091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PRD_STATUS</w:t>
            </w:r>
          </w:p>
        </w:tc>
        <w:tc>
          <w:tcPr>
            <w:tcW w:type="dxa" w:w="5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коды 8 и 9 появляются и исчезают по годам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0,031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ORB_OTRASL</w:t>
            </w:r>
          </w:p>
        </w:tc>
        <w:tc>
          <w:tcPr>
            <w:tcW w:type="dxa" w:w="5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код 20 есть в 2022, нет в 2021 и 2023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0,025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ORB_TERRIT</w:t>
            </w:r>
          </w:p>
        </w:tc>
        <w:tc>
          <w:tcPr>
            <w:tcW w:type="dxa" w:w="5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пропуски 33 % (2022) → 69 % (2023)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0,024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DOP_RABOTA</w:t>
            </w:r>
          </w:p>
        </w:tc>
        <w:tc>
          <w:tcPr>
            <w:tcW w:type="dxa" w:w="5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пропуски 33 % (2022) → 69 % (2023)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0,019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PROZHSROZH</w:t>
            </w:r>
          </w:p>
        </w:tc>
        <w:tc>
          <w:tcPr>
            <w:tcW w:type="dxa" w:w="5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пропуски 0 % (2022) → 57 % (2023)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0,015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RSPD</w:t>
            </w:r>
          </w:p>
        </w:tc>
        <w:tc>
          <w:tcPr>
            <w:tcW w:type="dxa" w:w="5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в 2021 есть значения 10 и 12, затем 9 кодов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0,011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PR_NEPOISK</w:t>
            </w:r>
          </w:p>
        </w:tc>
        <w:tc>
          <w:tcPr>
            <w:tcW w:type="dxa" w:w="5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набор кодов меняется каждый год (13, 19)</w:t>
            </w:r>
          </w:p>
        </w:tc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0,009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b/>
          <w:bCs/>
        </w:rPr>
        <w:t xml:space="preserve">Ключи и join. </w:t>
      </w:r>
      <w:r>
        <w:t xml:space="preserve">Единственные общие служебные поля (TE, K, RSPD) не идентифицируют человека: RSPD — номер респондента внутри домохозяйства (9–11 значений). Совпадение по псевдоключу [TE, K, RSPD, год и месяц рождения, пол] составляет 87,7–88,0 % строк, а при случайной перестановке года рождения — 86,4–86,7 %. Разница в 1–1,5 п.п. означает, что ключ фактически не различает людей; соединять годы нельзя.</w:t>
      </w:r>
    </w:p>
    <w:p>
      <w:pPr>
        <w:spacing w:after="120" w:line="276"/>
      </w:pPr>
      <w:r>
        <w:rPr>
          <w:b/>
          <w:bCs/>
        </w:rPr>
        <w:t xml:space="preserve">Динамика показателей. </w:t>
      </w:r>
      <w:r>
        <w:t xml:space="preserve">Доля занятых (ZAN_RABOTA = 1) снижается: 67,6 % → 67,2 % → 66,4 % → 65,9 %; средний возраст растёт с 44,5 до 45,1 года; доля женщин стабильна (около 53,8 %); объём выгрузки стабилен (468–476 тыс.). Так как весов выборки в данных нет, это динамика по респондентам, а не оценка по населению.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2676525"/>
            <wp:effectExtent t="0" r="0" b="0" l="0"/>
            <wp:docPr id="1" name="Рис. 3. Пропуски по колонкам и годам; ключевые показатели (2021 = 100)" descr="Рис. 3. Пропуски по колонкам и годам; ключевые показатели (2021 = 100)" title="Рис. 3. Пропуски по колонкам и годам; ключевые показатели (2021 = 10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Рис. 3. Пропуски по колонкам и годам; ключевые показатели (2021 = 100)</w:t>
      </w:r>
    </w:p>
    <w:p>
      <w:pPr>
        <w:pStyle w:val="Heading1"/>
      </w:pPr>
      <w:r>
        <w:t xml:space="preserve">5. Ключевые находки и проблемы качества данных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Это микроданные, не агрегаты: ~470 тыс. респондентов в год, уникального ID респондента нет.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Join и панельный анализ между годами невозможны: совпадение по псевдоключу на уровне случайного.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Смена анкеты видна в составе колонок: DH_PROZHIV_5 и ORB_CHISRB только в 2021; mes, kv, PRICH_ZANV только с 2022; в 2021 нет времени опроса.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Скачок пропусков в 2023 (DOP_RABOTA, ORB_TERRIT — с 33 до 69 %; PROZHSROZH — с 0 до 57 %): значения 2021–2022 и 2023–2024 несопоставимы без учёта логики опросника.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Дрейф кодов: новый код 9 в DH_OBRAZOV с 2022 (TV = 0,28), 17 → 20 кодов в TE, лишние значения RSPD в 2021, нестабильные коды PRD_STATUS, ORB_OTRASL, PR_NEPOISK.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Документация неполна: файлы структуры «2016–2022» и «2022–2024» идентичны по тексту, хотя колонки меняются; нет справочника «код → подпись»; не расшифрованы vosr, mes, kv, PRICH_ZANV, ZAN_PR_ST; ORB_OTRASL в структуре отсутствует (есть ORB_OTRASLkod).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Дубликаты: полных 1,27 % в 2021 (5 993) против ~0,14 % позже; без ID нельзя отличить ошибки от совпадающих респондентов.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Структурные пропуски: четыре колонки пусты на 90–99 %, DH_PROZHIV_0 — примерно на 52 %; это «вопрос не задавался», а не потеря данных.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Даты и возраст в порядке (согласованность не менее 99,9 %, месяцы рождения валидны); единичные vosr &gt; 100 (3–15 в год) требуют проверки.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ZAN_VREMYA_2 = 0 (4,5–5,7 тыс. строк в год) и 26–32 % «выбросов» по IQR: нули нужно пояснить по анкете, для часов работы нужны предметные правила вместо IQR.</w:t>
      </w:r>
    </w:p>
    <w:p>
      <w:pPr>
        <w:pStyle w:val="Heading1"/>
      </w:pPr>
      <w:r>
        <w:t xml:space="preserve">6. Рекомендации для дальнейшей работы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Запросить у владельца данных справочник «код → подпись» по годам и актуальные структуры и опросники для 2023–2024; до этого не трактовать коды шире справочника аббревиатур.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Построить таблицу соответствия колонок и кодов между годами (crosswalk); сравнивать годы только по колонкам без флагов дрейфа, а DH_OBRAZOV, TE, PRD_STATUS анализировать раздельно для 2021 и 2022–2024.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Не сравнивать напрямую DOP_RABOTA, ORB_TERRIT, PROZHSROZH до и после 2023 без уточнения изменений маршрута вопросов; считать доли от подгруппы, которой вопрос задавался.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Уточнить наличие весов выборки и идентификатора домохозяйства или респондента; без них оценки по населению и панельный анализ некорректны.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Дубликаты (особенно 5 993 в 2021) сверить с источником до удаления.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Для часов работы задать предметные правила (нули, значения выше 84 часов и т. п.) вместо IQR; проверить строки с vosr &gt; 100.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Следующий шаг: показатели по подгруппам (пол DH_POLRESP, возраст, TE, месяц или квартал для 2022–2024) отдельно по каждому году; типизированные данные сохранить в parquet.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8"/>
        <w:szCs w:val="18"/>
      </w:rPr>
      <w:t xml:space="preserve">Стр.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Calibri" w:hAnsi="Calibri"/>
      <w:b/>
      <w:bCs/>
      <w:color w:val="2F549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591d420f3bb0ef203a0cd085dc7cc7d8658a0392.png"/><Relationship Id="rId9" Type="http://schemas.openxmlformats.org/officeDocument/2006/relationships/image" Target="media/29caf1174c7a5087ea2c92765d63cf91250c2de1.png"/><Relationship Id="rId10" Type="http://schemas.openxmlformats.org/officeDocument/2006/relationships/image" Target="media/509414f171019832164edd6120dedd9297a222c2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2026-09-29T07:35:10.557Z</dcterms:created>
  <dcterms:modified xsi:type="dcterms:W3CDTF">2026-09-29T07:35:10.558Z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