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spacing w:line="397.35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zwaną/zwanym dalej „Kursantem” lub “Nabywcą”</w:t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(„Umowa”).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31.2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Użytkownik od dnia zawarcia umowy wykorzystał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{{WYKORZYSTANE_LEKCJE}}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lekcji, a w związku z tym Nabywca zobowiązany jest do zapłaty wynagrodzenia za wykonanie umowy w tym zakresie zgodnie z </w:t>
      </w:r>
      <w:r w:rsidDel="00000000" w:rsidR="00000000" w:rsidRPr="00000000">
        <w:rPr>
          <w:sz w:val="16"/>
          <w:szCs w:val="16"/>
          <w:rtl w:val="0"/>
        </w:rPr>
        <w:t xml:space="preserve">§ 2 ust. 1 Umowy w łącznej wysokości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  </w:t>
      </w:r>
      <w:r w:rsidDel="00000000" w:rsidR="00000000" w:rsidRPr="00000000">
        <w:rPr>
          <w:sz w:val="16"/>
          <w:szCs w:val="16"/>
          <w:rtl w:val="0"/>
        </w:rPr>
        <w:t xml:space="preserve">zł.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Strony zgodnie postanawiają, że od dnia wejścia w życie Aneksu znoszą limit wykorzystania lekcji określony w § 1 ust. 1 Umowy, a Użytkownik uprawniony jest do wykorzystania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{{POZOSTAŁE_LEKCJE}}</w:t>
      </w:r>
      <w:r w:rsidDel="00000000" w:rsidR="00000000" w:rsidRPr="00000000">
        <w:rPr>
          <w:sz w:val="16"/>
          <w:szCs w:val="16"/>
          <w:rtl w:val="0"/>
        </w:rPr>
        <w:t xml:space="preserve"> lekcji o długości 20 min każda bez limitu miesięcznego wykorzystania do dnia rozwiązania Umowy. </w:t>
      </w:r>
    </w:p>
    <w:p w:rsidR="00000000" w:rsidDel="00000000" w:rsidP="00000000" w:rsidRDefault="00000000" w:rsidRPr="00000000" w14:paraId="0000000E">
      <w:pPr>
        <w:spacing w:after="60"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 razie wątpliwości, uregulowania niniejszego Aneksu, mają pierwszeństwo w stosunku do regulacji wskazanych w treści Umowy oraz  Regulaminu świadczenia usług drogą elektroniczną w serwisie tutlo.com oraz tutlo.pl.</w:t>
      </w:r>
    </w:p>
    <w:p w:rsidR="00000000" w:rsidDel="00000000" w:rsidP="00000000" w:rsidRDefault="00000000" w:rsidRPr="00000000" w14:paraId="00000013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B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