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31.2" w:lineRule="auto"/>
        <w:jc w:val="center"/>
        <w:rPr>
          <w:b w:val="1"/>
          <w:bCs w:val="1"/>
          <w:sz w:val="16"/>
          <w:szCs w:val="16"/>
        </w:rPr>
      </w:pPr>
      <w:r w:rsidDel="00000000" w:rsidR="00000000" w:rsidRPr="00000000">
        <w:rPr>
          <w:b w:val="1"/>
          <w:bCs w:val="1"/>
          <w:sz w:val="16"/>
          <w:szCs w:val="16"/>
          <w:rtl w:val="0"/>
        </w:rPr>
        <w:t xml:space="preserve">Aneks nr 1 do Umowy NR  </w:t>
      </w:r>
      <w:r w:rsidDel="00000000" w:rsidR="00000000" w:rsidRPr="00000000">
        <w:rPr>
          <w:sz w:val="16"/>
          <w:szCs w:val="16"/>
          <w:highlight w:val="yellow"/>
          <w:rtl w:val="0"/>
        </w:rPr>
        <w:t xml:space="preserve">{{NUMER_UMOWY}} </w:t>
      </w:r>
      <w:r w:rsidDel="00000000" w:rsidR="00000000" w:rsidRPr="00000000">
        <w:rPr>
          <w:b w:val="1"/>
          <w:bCs w:val="1"/>
          <w:sz w:val="16"/>
          <w:szCs w:val="16"/>
          <w:rtl w:val="0"/>
        </w:rPr>
        <w:t xml:space="preserve">. z dnia </w:t>
      </w:r>
      <w:r w:rsidDel="00000000" w:rsidR="00000000" w:rsidRPr="00000000">
        <w:rPr>
          <w:sz w:val="16"/>
          <w:szCs w:val="16"/>
          <w:highlight w:val="yellow"/>
          <w:rtl w:val="0"/>
        </w:rPr>
        <w:t xml:space="preserve">{{DATA_ZAWARCIA_UMOWY}}</w:t>
      </w:r>
      <w:r w:rsidDel="00000000" w:rsidR="00000000" w:rsidRPr="00000000">
        <w:rPr>
          <w:b w:val="1"/>
          <w:bCs w:val="1"/>
          <w:sz w:val="16"/>
          <w:szCs w:val="16"/>
          <w:rtl w:val="0"/>
        </w:rPr>
        <w:t xml:space="preserve"> r.</w:t>
      </w:r>
    </w:p>
    <w:p w:rsidR="00000000" w:rsidDel="00000000" w:rsidP="00000000" w:rsidRDefault="00000000" w:rsidRPr="00000000" w14:paraId="00000002">
      <w:pPr>
        <w:spacing w:line="331.2" w:lineRule="auto"/>
        <w:jc w:val="center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zawarty w dniu </w:t>
      </w:r>
      <w:r w:rsidDel="00000000" w:rsidR="00000000" w:rsidRPr="00000000">
        <w:rPr>
          <w:sz w:val="16"/>
          <w:szCs w:val="16"/>
          <w:highlight w:val="yellow"/>
          <w:rtl w:val="0"/>
        </w:rPr>
        <w:t xml:space="preserve">{{DATA_ANEKSU}} </w:t>
      </w:r>
      <w:r w:rsidDel="00000000" w:rsidR="00000000" w:rsidRPr="00000000">
        <w:rPr>
          <w:sz w:val="16"/>
          <w:szCs w:val="16"/>
          <w:rtl w:val="0"/>
        </w:rPr>
        <w:t xml:space="preserve">  w Warszawie pomiędzy:</w:t>
      </w:r>
    </w:p>
    <w:p w:rsidR="00000000" w:rsidDel="00000000" w:rsidP="00000000" w:rsidRDefault="00000000" w:rsidRPr="00000000" w14:paraId="00000003">
      <w:pPr>
        <w:spacing w:line="331.2" w:lineRule="auto"/>
        <w:jc w:val="center"/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331.2" w:lineRule="auto"/>
        <w:jc w:val="both"/>
        <w:rPr>
          <w:sz w:val="16"/>
          <w:szCs w:val="16"/>
        </w:rPr>
      </w:pPr>
      <w:r w:rsidDel="00000000" w:rsidR="00000000" w:rsidRPr="00000000">
        <w:rPr>
          <w:b w:val="1"/>
          <w:bCs w:val="1"/>
          <w:sz w:val="16"/>
          <w:szCs w:val="16"/>
          <w:rtl w:val="0"/>
        </w:rPr>
        <w:t xml:space="preserve">Tutlo Sp. z o.o.</w:t>
      </w:r>
      <w:r w:rsidDel="00000000" w:rsidR="00000000" w:rsidRPr="00000000">
        <w:rPr>
          <w:sz w:val="16"/>
          <w:szCs w:val="16"/>
          <w:rtl w:val="0"/>
        </w:rPr>
        <w:t xml:space="preserve"> z siedzibą w Warszawie ul. Nowogrodzka 42 lok. 501, 00-695 Warszawa, wpisaną do rejestru przedsiębiorców Krajowego Rejestru Sądowego prowadzonego przez Sąd Rejonowy dla m.st. Warszawy w Warszawie, XII Wydział Gospodarczy Krajowego Rejestru Sądowego pod numerem KRS: 0001021377, posiadającą REGON: 524550960, posiadającą NIP: 7011130879, kapitał zakładowy 6 012 000,00 zł, reprezentowaną przez Yuliię Pysmenną na podstawie udzielonego jej pełnomocnictwa oraz:</w:t>
      </w:r>
    </w:p>
    <w:p w:rsidR="00000000" w:rsidDel="00000000" w:rsidP="00000000" w:rsidRDefault="00000000" w:rsidRPr="00000000" w14:paraId="00000005">
      <w:pPr>
        <w:spacing w:line="397.35" w:lineRule="auto"/>
        <w:jc w:val="both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331.2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highlight w:val="yellow"/>
          <w:rtl w:val="0"/>
        </w:rPr>
        <w:t xml:space="preserve">  {{IMIE_NAZWISKO}}</w:t>
      </w:r>
      <w:r w:rsidDel="00000000" w:rsidR="00000000" w:rsidRPr="00000000">
        <w:rPr>
          <w:sz w:val="16"/>
          <w:szCs w:val="16"/>
          <w:rtl w:val="0"/>
        </w:rPr>
        <w:t xml:space="preserve"> zamieszkała/zamieszkały ul. </w:t>
      </w:r>
      <w:r w:rsidDel="00000000" w:rsidR="00000000" w:rsidRPr="00000000">
        <w:rPr>
          <w:sz w:val="16"/>
          <w:szCs w:val="16"/>
          <w:highlight w:val="yellow"/>
          <w:rtl w:val="0"/>
        </w:rPr>
        <w:t xml:space="preserve">{{ADRES}}</w:t>
      </w:r>
      <w:r w:rsidDel="00000000" w:rsidR="00000000" w:rsidRPr="00000000">
        <w:rPr>
          <w:sz w:val="16"/>
          <w:szCs w:val="16"/>
          <w:rtl w:val="0"/>
        </w:rPr>
        <w:t xml:space="preserve">                                                       </w:t>
      </w:r>
    </w:p>
    <w:p w:rsidR="00000000" w:rsidDel="00000000" w:rsidP="00000000" w:rsidRDefault="00000000" w:rsidRPr="00000000" w14:paraId="00000007">
      <w:pPr>
        <w:spacing w:line="331.2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numer PESEL: </w:t>
      </w:r>
      <w:r w:rsidDel="00000000" w:rsidR="00000000" w:rsidRPr="00000000">
        <w:rPr>
          <w:sz w:val="16"/>
          <w:szCs w:val="16"/>
          <w:highlight w:val="white"/>
          <w:rtl w:val="0"/>
        </w:rPr>
        <w:t xml:space="preserve">{{PESEL}}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331.2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zwaną/zwanym dalej „Kursantem”</w:t>
      </w:r>
    </w:p>
    <w:p w:rsidR="00000000" w:rsidDel="00000000" w:rsidP="00000000" w:rsidRDefault="00000000" w:rsidRPr="00000000" w14:paraId="00000009">
      <w:pPr>
        <w:spacing w:line="331.2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center"/>
        <w:rPr>
          <w:b w:val="1"/>
          <w:bCs w:val="1"/>
          <w:sz w:val="16"/>
          <w:szCs w:val="16"/>
        </w:rPr>
      </w:pPr>
      <w:r w:rsidDel="00000000" w:rsidR="00000000" w:rsidRPr="00000000">
        <w:rPr>
          <w:b w:val="1"/>
          <w:bCs w:val="1"/>
          <w:sz w:val="16"/>
          <w:szCs w:val="16"/>
          <w:rtl w:val="0"/>
        </w:rPr>
        <w:t xml:space="preserve">§ 1.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60" w:line="331.2" w:lineRule="auto"/>
        <w:ind w:left="720" w:hanging="360"/>
        <w:jc w:val="both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Strony oświadczają, że w dniu </w:t>
      </w:r>
      <w:r w:rsidDel="00000000" w:rsidR="00000000" w:rsidRPr="00000000">
        <w:rPr>
          <w:sz w:val="16"/>
          <w:szCs w:val="16"/>
          <w:highlight w:val="yellow"/>
          <w:rtl w:val="0"/>
        </w:rPr>
        <w:t xml:space="preserve">{{DATA_ZAWARCIA_UMOWY}}</w:t>
      </w:r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sz w:val="16"/>
          <w:szCs w:val="16"/>
          <w:rtl w:val="0"/>
        </w:rPr>
        <w:t xml:space="preserve"> została zawarta pomiędzy nimi Umowa NR </w:t>
      </w:r>
      <w:r w:rsidDel="00000000" w:rsidR="00000000" w:rsidRPr="00000000">
        <w:rPr>
          <w:sz w:val="16"/>
          <w:szCs w:val="16"/>
          <w:highlight w:val="yellow"/>
          <w:rtl w:val="0"/>
        </w:rPr>
        <w:t xml:space="preserve">{{NUMER_UMOWY}}</w:t>
      </w:r>
      <w:r w:rsidDel="00000000" w:rsidR="00000000" w:rsidRPr="00000000">
        <w:rPr>
          <w:sz w:val="16"/>
          <w:szCs w:val="16"/>
          <w:rtl w:val="0"/>
        </w:rPr>
        <w:t xml:space="preserve"> („Umowa”).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before="200" w:line="331.2" w:lineRule="auto"/>
        <w:ind w:left="720" w:hanging="360"/>
        <w:jc w:val="both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Na podstawie niniejszego aneksu (“Aneks’), Strony dokonują zmian w warunkach płatności obniżając cenę pakietu wskazaną w § 2 ust. 1 Umowy do kwoty</w:t>
      </w:r>
      <w:r w:rsidDel="00000000" w:rsidR="00000000" w:rsidRPr="00000000">
        <w:rPr>
          <w:sz w:val="16"/>
          <w:szCs w:val="16"/>
          <w:highlight w:val="white"/>
          <w:rtl w:val="0"/>
        </w:rPr>
        <w:t xml:space="preserve"> </w:t>
      </w:r>
      <w:r w:rsidDel="00000000" w:rsidR="00000000" w:rsidRPr="00000000">
        <w:rPr>
          <w:sz w:val="16"/>
          <w:szCs w:val="16"/>
          <w:highlight w:val="yellow"/>
          <w:rtl w:val="0"/>
        </w:rPr>
        <w:t xml:space="preserve">{{NOWA_CENA}} </w:t>
      </w:r>
      <w:r w:rsidDel="00000000" w:rsidR="00000000" w:rsidRPr="00000000">
        <w:rPr>
          <w:sz w:val="16"/>
          <w:szCs w:val="16"/>
          <w:rtl w:val="0"/>
        </w:rPr>
        <w:t xml:space="preserve">zł brutto.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before="200" w:line="331.2" w:lineRule="auto"/>
        <w:ind w:left="720" w:hanging="360"/>
        <w:jc w:val="both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Zmiana wysokości ceny pakietu zobowiązuje Kursanta do zapłaty należności zgodnie z § 2 ust. 2 Umowy pomniejszonej o wysokość jednej raty. Strony postanawiają, że Kursant nie jest zobowiązany do zapłaty najbliższej raty przypadającej zgodnie z harmonogramem wskazanym w § 2 ust. 1 Umowy od dnia podpisania niniejszego Aneksu. </w:t>
      </w:r>
    </w:p>
    <w:p w:rsidR="00000000" w:rsidDel="00000000" w:rsidP="00000000" w:rsidRDefault="00000000" w:rsidRPr="00000000" w14:paraId="0000000E">
      <w:pPr>
        <w:spacing w:line="331.2" w:lineRule="auto"/>
        <w:jc w:val="both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before="200" w:line="331.2" w:lineRule="auto"/>
        <w:ind w:left="720" w:hanging="360"/>
        <w:jc w:val="both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Rozliczenia pomiędzy Stronami zgodnie z § 1 ust. 2 i 3 Aneksu, wyczerpują roszczenia Tutlo Sp. z o.o. w zakresie płatności, na podstawie Umowy NR </w:t>
      </w:r>
      <w:r w:rsidDel="00000000" w:rsidR="00000000" w:rsidRPr="00000000">
        <w:rPr>
          <w:sz w:val="16"/>
          <w:szCs w:val="16"/>
          <w:highlight w:val="yellow"/>
          <w:rtl w:val="0"/>
        </w:rPr>
        <w:t xml:space="preserve">{{NUMER_UMOWY}}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spacing w:before="200" w:line="331.2" w:lineRule="auto"/>
        <w:ind w:left="720" w:hanging="360"/>
        <w:jc w:val="both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Na podstawie niniejszego Aneksu, Strony dokonują zmian w § 3 ust.13 Umowy, który otrzymuje następujące brzmienie:</w:t>
      </w:r>
    </w:p>
    <w:p w:rsidR="00000000" w:rsidDel="00000000" w:rsidP="00000000" w:rsidRDefault="00000000" w:rsidRPr="00000000" w14:paraId="00000011">
      <w:pPr>
        <w:spacing w:before="200" w:line="331.2" w:lineRule="auto"/>
        <w:ind w:left="720" w:firstLine="0"/>
        <w:jc w:val="both"/>
        <w:rPr>
          <w:sz w:val="16"/>
          <w:szCs w:val="16"/>
          <w:highlight w:val="white"/>
        </w:rPr>
      </w:pPr>
      <w:r w:rsidDel="00000000" w:rsidR="00000000" w:rsidRPr="00000000">
        <w:rPr>
          <w:sz w:val="16"/>
          <w:szCs w:val="16"/>
          <w:highlight w:val="white"/>
          <w:rtl w:val="0"/>
        </w:rPr>
        <w:t xml:space="preserve">Nabywcy oraz Tutlo nie przysługuje prawo wypowiedzenia niniejszej Umowy, chyba że przepisy powszechnie obowiązującego prawa stanowią inaczej, a w szczególności art. 746 kodeksu cywilnego.</w:t>
      </w:r>
    </w:p>
    <w:p w:rsidR="00000000" w:rsidDel="00000000" w:rsidP="00000000" w:rsidRDefault="00000000" w:rsidRPr="00000000" w14:paraId="00000012">
      <w:pPr>
        <w:spacing w:before="200" w:line="331.2" w:lineRule="auto"/>
        <w:ind w:left="720" w:firstLine="0"/>
        <w:jc w:val="both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360" w:lineRule="auto"/>
        <w:jc w:val="both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="360" w:lineRule="auto"/>
        <w:jc w:val="center"/>
        <w:rPr>
          <w:b w:val="1"/>
          <w:bCs w:val="1"/>
          <w:sz w:val="16"/>
          <w:szCs w:val="16"/>
        </w:rPr>
      </w:pPr>
      <w:r w:rsidDel="00000000" w:rsidR="00000000" w:rsidRPr="00000000">
        <w:rPr>
          <w:b w:val="1"/>
          <w:bCs w:val="1"/>
          <w:sz w:val="16"/>
          <w:szCs w:val="16"/>
          <w:rtl w:val="0"/>
        </w:rPr>
        <w:t xml:space="preserve">§ 2.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line="360" w:lineRule="auto"/>
        <w:ind w:left="720" w:hanging="360"/>
        <w:jc w:val="both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Pozostałe warunki Umowy pozostają bez zmian.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line="360" w:lineRule="auto"/>
        <w:ind w:left="720" w:hanging="360"/>
        <w:jc w:val="both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Aneks wchodzi w życie z dniem </w:t>
      </w:r>
      <w:r w:rsidDel="00000000" w:rsidR="00000000" w:rsidRPr="00000000">
        <w:rPr>
          <w:sz w:val="16"/>
          <w:szCs w:val="16"/>
          <w:highlight w:val="yellow"/>
          <w:rtl w:val="0"/>
        </w:rPr>
        <w:t xml:space="preserve">{{DATA_WEJSCIA_W_ZYCIE}}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331.2" w:lineRule="auto"/>
        <w:ind w:left="720" w:firstLine="0"/>
        <w:jc w:val="both"/>
        <w:rPr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25.511811023624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4512.755905511812"/>
        <w:gridCol w:w="4512.755905511812"/>
        <w:tblGridChange w:id="0">
          <w:tblGrid>
            <w:gridCol w:w="4512.755905511812"/>
            <w:gridCol w:w="4512.755905511812"/>
          </w:tblGrid>
        </w:tblGridChange>
      </w:tblGrid>
      <w:tr>
        <w:trPr>
          <w:cantSplit w:val="0"/>
          <w:trHeight w:val="930" w:hRule="atLeast"/>
          <w:tblHeader w:val="0"/>
        </w:trPr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line="288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spacing w:line="288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Za Tutlo Sp. z o.o.</w:t>
            </w:r>
          </w:p>
        </w:tc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line="288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B">
            <w:pPr>
              <w:spacing w:line="288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sz w:val="16"/>
                <w:szCs w:val="16"/>
                <w:highlight w:val="yellow"/>
                <w:rtl w:val="0"/>
              </w:rPr>
              <w:t xml:space="preserve">  {{IMIE_NAZWISKO}}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vMerge w:val="restart"/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line="288" w:lineRule="auto"/>
              <w:rPr>
                <w:color w:val="999999"/>
                <w:sz w:val="16"/>
                <w:szCs w:val="16"/>
              </w:rPr>
            </w:pPr>
            <w:r w:rsidDel="00000000" w:rsidR="00000000" w:rsidRPr="00000000">
              <w:rPr>
                <w:color w:val="999999"/>
                <w:sz w:val="16"/>
                <w:szCs w:val="16"/>
                <w:rtl w:val="0"/>
              </w:rPr>
              <w:t xml:space="preserve">………………………………………………….</w:t>
            </w:r>
          </w:p>
          <w:p w:rsidR="00000000" w:rsidDel="00000000" w:rsidP="00000000" w:rsidRDefault="00000000" w:rsidRPr="00000000" w14:paraId="0000001D">
            <w:pPr>
              <w:spacing w:line="288" w:lineRule="auto"/>
              <w:rPr>
                <w:i w:val="1"/>
                <w:iCs w:val="1"/>
                <w:color w:val="999999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color w:val="999999"/>
                <w:sz w:val="16"/>
                <w:szCs w:val="16"/>
                <w:rtl w:val="0"/>
              </w:rPr>
              <w:t xml:space="preserve">(podpis i data)</w:t>
            </w:r>
          </w:p>
        </w:tc>
        <w:tc>
          <w:tcPr>
            <w:vMerge w:val="restart"/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line="288" w:lineRule="auto"/>
              <w:jc w:val="right"/>
              <w:rPr>
                <w:color w:val="999999"/>
                <w:sz w:val="16"/>
                <w:szCs w:val="16"/>
              </w:rPr>
            </w:pPr>
            <w:r w:rsidDel="00000000" w:rsidR="00000000" w:rsidRPr="00000000">
              <w:rPr>
                <w:color w:val="999999"/>
                <w:sz w:val="16"/>
                <w:szCs w:val="16"/>
                <w:rtl w:val="0"/>
              </w:rPr>
              <w:t xml:space="preserve">………………………………………………….</w:t>
            </w:r>
          </w:p>
          <w:p w:rsidR="00000000" w:rsidDel="00000000" w:rsidP="00000000" w:rsidRDefault="00000000" w:rsidRPr="00000000" w14:paraId="0000001F">
            <w:pPr>
              <w:spacing w:line="288" w:lineRule="auto"/>
              <w:jc w:val="right"/>
              <w:rPr>
                <w:i w:val="1"/>
                <w:iCs w:val="1"/>
                <w:color w:val="999999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color w:val="999999"/>
                <w:sz w:val="16"/>
                <w:szCs w:val="16"/>
                <w:rtl w:val="0"/>
              </w:rPr>
              <w:t xml:space="preserve">(podpis i data)</w:t>
            </w:r>
          </w:p>
        </w:tc>
      </w:tr>
      <w:tr>
        <w:trPr>
          <w:cantSplit w:val="0"/>
          <w:trHeight w:val="120" w:hRule="atLeast"/>
          <w:tblHeader w:val="0"/>
        </w:trPr>
        <w:tc>
          <w:tcPr>
            <w:vMerge w:val="continue"/>
            <w:tcBorders>
              <w:bottom w:color="ffffff" w:space="0" w:sz="4" w:val="single"/>
              <w:right w:color="ffffff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bottom w:color="ffffff" w:space="0" w:sz="4" w:val="single"/>
              <w:right w:color="ffffff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l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