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2762" w14:textId="77777777" w:rsidR="00D06EA0" w:rsidRDefault="00000000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ascii="Calibri" w:eastAsia="Calibri" w:hAnsi="Calibri" w:cs="Calibri"/>
          <w:color w:val="0000FF"/>
          <w:sz w:val="28"/>
          <w:szCs w:val="28"/>
        </w:rPr>
      </w:pPr>
      <w:bookmarkStart w:id="0" w:name="_xdba20ei2ths" w:colFirst="0" w:colLast="0"/>
      <w:bookmarkEnd w:id="0"/>
      <w:r>
        <w:rPr>
          <w:rFonts w:ascii="Calibri" w:eastAsia="Calibri" w:hAnsi="Calibri" w:cs="Calibri"/>
          <w:color w:val="0000FF"/>
          <w:sz w:val="28"/>
          <w:szCs w:val="28"/>
        </w:rPr>
        <w:t>Threat and Vulnerability Identification Template</w:t>
      </w:r>
    </w:p>
    <w:p w14:paraId="663D981E" w14:textId="77777777" w:rsidR="00D06EA0" w:rsidRDefault="00D06EA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BD54BED" w14:textId="77777777" w:rsidR="00D06EA0" w:rsidRDefault="00D06EA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Style w:val="a"/>
        <w:tblpPr w:leftFromText="180" w:rightFromText="180" w:topFromText="180" w:bottomFromText="180" w:vertAnchor="text" w:tblpX="-630"/>
        <w:tblW w:w="108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D06EA0" w14:paraId="3DEE1420" w14:textId="77777777">
        <w:trPr>
          <w:trHeight w:val="497"/>
        </w:trPr>
        <w:tc>
          <w:tcPr>
            <w:tcW w:w="2160" w:type="dxa"/>
            <w:shd w:val="clear" w:color="auto" w:fill="0000FF"/>
          </w:tcPr>
          <w:p w14:paraId="30CE9D2A" w14:textId="77777777" w:rsidR="00D06EA0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Asset Name</w:t>
            </w:r>
          </w:p>
        </w:tc>
        <w:tc>
          <w:tcPr>
            <w:tcW w:w="2160" w:type="dxa"/>
            <w:shd w:val="clear" w:color="auto" w:fill="0000FF"/>
          </w:tcPr>
          <w:p w14:paraId="0170147A" w14:textId="77777777" w:rsidR="00D06EA0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Asset Description</w:t>
            </w:r>
          </w:p>
        </w:tc>
        <w:tc>
          <w:tcPr>
            <w:tcW w:w="2160" w:type="dxa"/>
            <w:shd w:val="clear" w:color="auto" w:fill="0000FF"/>
          </w:tcPr>
          <w:p w14:paraId="43CE32FC" w14:textId="77777777" w:rsidR="00D06EA0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Associated Threats</w:t>
            </w:r>
          </w:p>
        </w:tc>
        <w:tc>
          <w:tcPr>
            <w:tcW w:w="2160" w:type="dxa"/>
            <w:shd w:val="clear" w:color="auto" w:fill="0000FF"/>
          </w:tcPr>
          <w:p w14:paraId="5886BCE5" w14:textId="77777777" w:rsidR="00D06EA0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Potential Vulnerabilities</w:t>
            </w:r>
          </w:p>
        </w:tc>
        <w:tc>
          <w:tcPr>
            <w:tcW w:w="2160" w:type="dxa"/>
            <w:shd w:val="clear" w:color="auto" w:fill="0000FF"/>
          </w:tcPr>
          <w:p w14:paraId="44099035" w14:textId="77777777" w:rsidR="00D06EA0" w:rsidRDefault="00000000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Mitigation Notes</w:t>
            </w:r>
          </w:p>
        </w:tc>
      </w:tr>
      <w:tr w:rsidR="00D06EA0" w14:paraId="2B055F3A" w14:textId="77777777">
        <w:trPr>
          <w:trHeight w:val="243"/>
        </w:trPr>
        <w:tc>
          <w:tcPr>
            <w:tcW w:w="2160" w:type="dxa"/>
          </w:tcPr>
          <w:p w14:paraId="7186E56A" w14:textId="34C27150" w:rsidR="00D06EA0" w:rsidRDefault="00582A13" w:rsidP="00582A13">
            <w:pPr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Ecommerce Website &amp; Mobile App</w:t>
            </w:r>
          </w:p>
        </w:tc>
        <w:tc>
          <w:tcPr>
            <w:tcW w:w="2160" w:type="dxa"/>
          </w:tcPr>
          <w:p w14:paraId="5F1C12E2" w14:textId="6601DBB1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Customer facing platforms used for online sales and transaction</w:t>
            </w:r>
          </w:p>
        </w:tc>
        <w:tc>
          <w:tcPr>
            <w:tcW w:w="2160" w:type="dxa"/>
          </w:tcPr>
          <w:p w14:paraId="530D6036" w14:textId="2CB410D8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Cybercriminals, web attacks, account compromise, data theft</w:t>
            </w:r>
          </w:p>
        </w:tc>
        <w:tc>
          <w:tcPr>
            <w:tcW w:w="2160" w:type="dxa"/>
          </w:tcPr>
          <w:p w14:paraId="4330D7FA" w14:textId="02C4C5AF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Application vulnerabilities, weak authentication, insecure </w:t>
            </w:r>
            <w:proofErr w:type="gramStart"/>
            <w:r>
              <w:rPr>
                <w:rFonts w:ascii="Calibri" w:eastAsia="Calibri" w:hAnsi="Calibri" w:cs="Calibri"/>
                <w:sz w:val="24"/>
                <w:szCs w:val="24"/>
              </w:rPr>
              <w:t>third party</w:t>
            </w:r>
            <w:proofErr w:type="gramEnd"/>
            <w:r>
              <w:rPr>
                <w:rFonts w:ascii="Calibri" w:eastAsia="Calibri" w:hAnsi="Calibri" w:cs="Calibri"/>
                <w:sz w:val="24"/>
                <w:szCs w:val="24"/>
              </w:rPr>
              <w:t xml:space="preserve"> integrations</w:t>
            </w:r>
          </w:p>
        </w:tc>
        <w:tc>
          <w:tcPr>
            <w:tcW w:w="2160" w:type="dxa"/>
          </w:tcPr>
          <w:p w14:paraId="43DA5BED" w14:textId="58845279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Regular vulnerability scanning, patching, MFA, secure coding, web application firewall</w:t>
            </w:r>
          </w:p>
        </w:tc>
      </w:tr>
      <w:tr w:rsidR="00D06EA0" w14:paraId="24B84F6B" w14:textId="77777777">
        <w:trPr>
          <w:trHeight w:val="243"/>
        </w:trPr>
        <w:tc>
          <w:tcPr>
            <w:tcW w:w="2160" w:type="dxa"/>
          </w:tcPr>
          <w:p w14:paraId="0822FC88" w14:textId="5E3D7AC2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Customer Data</w:t>
            </w:r>
          </w:p>
        </w:tc>
        <w:tc>
          <w:tcPr>
            <w:tcW w:w="2160" w:type="dxa"/>
          </w:tcPr>
          <w:p w14:paraId="413E9352" w14:textId="3F002424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Customer names, emails, phone numbers, addresses, purchase history and loyalty data</w:t>
            </w:r>
          </w:p>
        </w:tc>
        <w:tc>
          <w:tcPr>
            <w:tcW w:w="2160" w:type="dxa"/>
          </w:tcPr>
          <w:p w14:paraId="18A6872F" w14:textId="4099804B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Data breach, unauthorized access, data exfiltration</w:t>
            </w:r>
          </w:p>
        </w:tc>
        <w:tc>
          <w:tcPr>
            <w:tcW w:w="2160" w:type="dxa"/>
          </w:tcPr>
          <w:p w14:paraId="479CDA1C" w14:textId="089EFE6B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Excessive access privileges, compromised credentials, third-party exposure</w:t>
            </w:r>
          </w:p>
        </w:tc>
        <w:tc>
          <w:tcPr>
            <w:tcW w:w="2160" w:type="dxa"/>
          </w:tcPr>
          <w:p w14:paraId="67683B50" w14:textId="6BB028CF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Encryption, RBAC, MFA, data minimization, access reviews, DLP</w:t>
            </w:r>
          </w:p>
        </w:tc>
      </w:tr>
      <w:tr w:rsidR="00D06EA0" w14:paraId="6EEBDF6B" w14:textId="77777777">
        <w:trPr>
          <w:trHeight w:val="243"/>
        </w:trPr>
        <w:tc>
          <w:tcPr>
            <w:tcW w:w="2160" w:type="dxa"/>
          </w:tcPr>
          <w:p w14:paraId="4DCB902A" w14:textId="4C2CAFA5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Cloud-connected POS Systems</w:t>
            </w:r>
          </w:p>
        </w:tc>
        <w:tc>
          <w:tcPr>
            <w:tcW w:w="2160" w:type="dxa"/>
          </w:tcPr>
          <w:p w14:paraId="1566825D" w14:textId="0C50693C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Point-of-sale systems deployed across 85 stores and connected to cloud services</w:t>
            </w:r>
          </w:p>
        </w:tc>
        <w:tc>
          <w:tcPr>
            <w:tcW w:w="2160" w:type="dxa"/>
          </w:tcPr>
          <w:p w14:paraId="18A3DADE" w14:textId="7AFFD869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Ransomware, malware, credential compromise, system disruption</w:t>
            </w:r>
          </w:p>
        </w:tc>
        <w:tc>
          <w:tcPr>
            <w:tcW w:w="2160" w:type="dxa"/>
          </w:tcPr>
          <w:p w14:paraId="61102926" w14:textId="36B18516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BYOD/remote-access risks, unpatched endpoints, weak network segmentation</w:t>
            </w:r>
          </w:p>
        </w:tc>
        <w:tc>
          <w:tcPr>
            <w:tcW w:w="2160" w:type="dxa"/>
          </w:tcPr>
          <w:p w14:paraId="440780FA" w14:textId="58B58874" w:rsidR="00D06EA0" w:rsidRDefault="00582A13">
            <w:pPr>
              <w:spacing w:line="240" w:lineRule="auto"/>
              <w:rPr>
                <w:rFonts w:ascii="Calibri" w:eastAsia="Calibri" w:hAnsi="Calibri" w:cs="Calibri"/>
                <w:sz w:val="24"/>
                <w:szCs w:val="24"/>
              </w:rPr>
            </w:pPr>
            <w:r w:rsidRPr="00582A13">
              <w:rPr>
                <w:rFonts w:ascii="Calibri" w:eastAsia="Calibri" w:hAnsi="Calibri" w:cs="Calibri"/>
                <w:sz w:val="24"/>
                <w:szCs w:val="24"/>
              </w:rPr>
              <w:t>Endpoint protection, patch management, network segmentation, MFA, centralized monitoring</w:t>
            </w:r>
          </w:p>
        </w:tc>
      </w:tr>
    </w:tbl>
    <w:p w14:paraId="69E6FB96" w14:textId="77777777" w:rsidR="00D06EA0" w:rsidRDefault="00000000">
      <w:pPr>
        <w:pStyle w:val="Heading1"/>
        <w:keepNext w:val="0"/>
        <w:keepLines w:val="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0" w:after="0" w:line="240" w:lineRule="auto"/>
        <w:rPr>
          <w:rFonts w:ascii="Calibri" w:eastAsia="Calibri" w:hAnsi="Calibri" w:cs="Calibri"/>
          <w:color w:val="0000FF"/>
          <w:sz w:val="28"/>
          <w:szCs w:val="28"/>
        </w:rPr>
      </w:pPr>
      <w:r>
        <w:rPr>
          <w:rFonts w:ascii="Calibri" w:eastAsia="Calibri" w:hAnsi="Calibri" w:cs="Calibri"/>
          <w:color w:val="0000FF"/>
          <w:sz w:val="28"/>
          <w:szCs w:val="28"/>
        </w:rPr>
        <w:t>Risk Criteria</w:t>
      </w:r>
    </w:p>
    <w:p w14:paraId="5D4EA319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below explains what each item in the Risk Assessment means.</w:t>
      </w:r>
    </w:p>
    <w:p w14:paraId="2CD3EEB8" w14:textId="77777777" w:rsidR="00D06EA0" w:rsidRDefault="00D06E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502" w:type="dxa"/>
        <w:tblInd w:w="-5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946"/>
        <w:gridCol w:w="7556"/>
      </w:tblGrid>
      <w:tr w:rsidR="00D06EA0" w14:paraId="6BC96E8B" w14:textId="77777777" w:rsidTr="00D06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tblHeader/>
        </w:trPr>
        <w:tc>
          <w:tcPr>
            <w:tcW w:w="1946" w:type="dxa"/>
            <w:shd w:val="clear" w:color="auto" w:fill="0000FF"/>
            <w:vAlign w:val="center"/>
          </w:tcPr>
          <w:p w14:paraId="5979CD41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  <w:tc>
          <w:tcPr>
            <w:tcW w:w="7556" w:type="dxa"/>
            <w:shd w:val="clear" w:color="auto" w:fill="0000FF"/>
            <w:vAlign w:val="center"/>
          </w:tcPr>
          <w:p w14:paraId="30C40A3C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</w:tr>
      <w:tr w:rsidR="00D06EA0" w14:paraId="55645584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29A2C707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Risk Description</w:t>
            </w:r>
          </w:p>
        </w:tc>
        <w:tc>
          <w:tcPr>
            <w:tcW w:w="7556" w:type="dxa"/>
          </w:tcPr>
          <w:p w14:paraId="64BA2D2F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Detailed explanation of the scenario, what could go wrong, and why it matters.</w:t>
            </w:r>
          </w:p>
        </w:tc>
      </w:tr>
      <w:tr w:rsidR="00D06EA0" w14:paraId="6045F10A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053182F2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Assets at Risk </w:t>
            </w:r>
          </w:p>
        </w:tc>
        <w:tc>
          <w:tcPr>
            <w:tcW w:w="7556" w:type="dxa"/>
            <w:shd w:val="clear" w:color="auto" w:fill="auto"/>
          </w:tcPr>
          <w:p w14:paraId="57793728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information, system, or service impacted (e.g. customer data, VDI environment).</w:t>
            </w:r>
          </w:p>
        </w:tc>
      </w:tr>
      <w:tr w:rsidR="00D06EA0" w14:paraId="0A05A4D4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763D01F8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Threat </w:t>
            </w:r>
          </w:p>
        </w:tc>
        <w:tc>
          <w:tcPr>
            <w:tcW w:w="7556" w:type="dxa"/>
          </w:tcPr>
          <w:p w14:paraId="1D81722B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Who or what could cause the risk (e.g., insider, cybercriminal, accident, malware). The action or event (e.g., data exfiltration, privilege misuse, physical theft).</w:t>
            </w:r>
          </w:p>
        </w:tc>
      </w:tr>
      <w:tr w:rsidR="00D06EA0" w14:paraId="3A2269E4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15911E41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Vulnerability</w:t>
            </w:r>
          </w:p>
        </w:tc>
        <w:tc>
          <w:tcPr>
            <w:tcW w:w="7556" w:type="dxa"/>
            <w:shd w:val="clear" w:color="auto" w:fill="auto"/>
          </w:tcPr>
          <w:p w14:paraId="7B4250CB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Weakness – the gap or condition that enables the threat (e.g., extended idle session, clipboard sharing).</w:t>
            </w:r>
          </w:p>
        </w:tc>
      </w:tr>
      <w:tr w:rsidR="00D06EA0" w14:paraId="38ADD243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55452A44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Existing Controls</w:t>
            </w:r>
          </w:p>
        </w:tc>
        <w:tc>
          <w:tcPr>
            <w:tcW w:w="7556" w:type="dxa"/>
          </w:tcPr>
          <w:p w14:paraId="597355C2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Current safeguards in place (e.g., MFA, logging, endpoint DLP).</w:t>
            </w:r>
          </w:p>
        </w:tc>
      </w:tr>
      <w:tr w:rsidR="00D06EA0" w14:paraId="196933A4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7F68258F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Inherent Risk Rating </w:t>
            </w:r>
          </w:p>
        </w:tc>
        <w:tc>
          <w:tcPr>
            <w:tcW w:w="7556" w:type="dxa"/>
            <w:shd w:val="clear" w:color="auto" w:fill="auto"/>
          </w:tcPr>
          <w:p w14:paraId="5975DB41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Risk level before any mitigations are applied.</w:t>
            </w:r>
          </w:p>
        </w:tc>
      </w:tr>
      <w:tr w:rsidR="00D06EA0" w14:paraId="6158BFA0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73EEEB0C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lastRenderedPageBreak/>
              <w:t xml:space="preserve">Residual Risk Rating </w:t>
            </w:r>
          </w:p>
        </w:tc>
        <w:tc>
          <w:tcPr>
            <w:tcW w:w="7556" w:type="dxa"/>
          </w:tcPr>
          <w:p w14:paraId="2FBC2EB6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Risk level after current controls are considered.</w:t>
            </w:r>
          </w:p>
        </w:tc>
      </w:tr>
      <w:tr w:rsidR="00D06EA0" w14:paraId="222A74F7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24BC5038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Likelihood </w:t>
            </w:r>
          </w:p>
        </w:tc>
        <w:tc>
          <w:tcPr>
            <w:tcW w:w="7556" w:type="dxa"/>
            <w:shd w:val="clear" w:color="auto" w:fill="auto"/>
          </w:tcPr>
          <w:p w14:paraId="675E27D1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probability of occurrence (e.g., Rare, Possible, Likely).</w:t>
            </w:r>
          </w:p>
        </w:tc>
      </w:tr>
      <w:tr w:rsidR="00D06EA0" w14:paraId="79784F24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51D5DAC2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Consequence </w:t>
            </w:r>
          </w:p>
        </w:tc>
        <w:tc>
          <w:tcPr>
            <w:tcW w:w="7556" w:type="dxa"/>
          </w:tcPr>
          <w:p w14:paraId="143612B4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Severity – level of damage if </w:t>
            </w:r>
            <w:proofErr w:type="spellStart"/>
            <w:r>
              <w:rPr>
                <w:rFonts w:ascii="Calibri" w:eastAsia="Calibri" w:hAnsi="Calibri" w:cs="Calibri"/>
                <w:color w:val="1D1A1D"/>
              </w:rPr>
              <w:t>realised</w:t>
            </w:r>
            <w:proofErr w:type="spellEnd"/>
            <w:r>
              <w:rPr>
                <w:rFonts w:ascii="Calibri" w:eastAsia="Calibri" w:hAnsi="Calibri" w:cs="Calibri"/>
                <w:color w:val="1D1A1D"/>
              </w:rPr>
              <w:t xml:space="preserve"> (e.g., Minor, Moderate, Major, Extreme).</w:t>
            </w:r>
          </w:p>
        </w:tc>
      </w:tr>
      <w:tr w:rsidR="00D06EA0" w14:paraId="6DF8FF5F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17810A6C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Rating </w:t>
            </w:r>
          </w:p>
        </w:tc>
        <w:tc>
          <w:tcPr>
            <w:tcW w:w="7556" w:type="dxa"/>
            <w:shd w:val="clear" w:color="auto" w:fill="auto"/>
          </w:tcPr>
          <w:p w14:paraId="4C798BE7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The outcome of the risk likelihood and consequence evaluation.</w:t>
            </w:r>
          </w:p>
        </w:tc>
      </w:tr>
      <w:tr w:rsidR="00D06EA0" w14:paraId="72028493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631"/>
        </w:trPr>
        <w:tc>
          <w:tcPr>
            <w:tcW w:w="1946" w:type="dxa"/>
          </w:tcPr>
          <w:p w14:paraId="0469D348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Mitigations</w:t>
            </w:r>
          </w:p>
        </w:tc>
        <w:tc>
          <w:tcPr>
            <w:tcW w:w="7556" w:type="dxa"/>
          </w:tcPr>
          <w:p w14:paraId="6ADB16B1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Treatment Plan – actions to reduce, transfer, avoid, or accept the risk.</w:t>
            </w:r>
          </w:p>
        </w:tc>
      </w:tr>
      <w:tr w:rsidR="00D06EA0" w14:paraId="4D60CA31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631"/>
        </w:trPr>
        <w:tc>
          <w:tcPr>
            <w:tcW w:w="1946" w:type="dxa"/>
            <w:shd w:val="clear" w:color="auto" w:fill="auto"/>
          </w:tcPr>
          <w:p w14:paraId="65A4FA67" w14:textId="77777777" w:rsidR="00D06EA0" w:rsidRDefault="00000000">
            <w:pPr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 xml:space="preserve">Risk Owner </w:t>
            </w:r>
          </w:p>
        </w:tc>
        <w:tc>
          <w:tcPr>
            <w:tcW w:w="7556" w:type="dxa"/>
            <w:shd w:val="clear" w:color="auto" w:fill="auto"/>
          </w:tcPr>
          <w:p w14:paraId="05273D21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Person or role accountable for managing the risk (e.g., the person who uses the software)  </w:t>
            </w:r>
          </w:p>
        </w:tc>
      </w:tr>
    </w:tbl>
    <w:p w14:paraId="1539A447" w14:textId="77777777" w:rsidR="00D06EA0" w:rsidRDefault="00D06E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5FEF8A" w14:textId="77777777" w:rsidR="00D06EA0" w:rsidRDefault="00D06EA0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7E75605D" w14:textId="77777777" w:rsidR="00D06EA0" w:rsidRDefault="00D06EA0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77FECAD0" w14:textId="77777777" w:rsidR="00D06EA0" w:rsidRDefault="00D06EA0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04B797A9" w14:textId="77777777" w:rsidR="00D06EA0" w:rsidRDefault="00D06EA0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</w:p>
    <w:p w14:paraId="1241D8E2" w14:textId="77777777" w:rsidR="00D06EA0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8"/>
          <w:szCs w:val="28"/>
        </w:rPr>
      </w:pPr>
      <w:r>
        <w:rPr>
          <w:rFonts w:ascii="Calibri" w:eastAsia="Calibri" w:hAnsi="Calibri" w:cs="Calibri"/>
          <w:b/>
          <w:color w:val="0000FF"/>
          <w:sz w:val="28"/>
          <w:szCs w:val="28"/>
        </w:rPr>
        <w:t>Risk Assessment</w:t>
      </w:r>
    </w:p>
    <w:p w14:paraId="032A0935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Complete this assessment for at least 3 risks. </w:t>
      </w:r>
    </w:p>
    <w:p w14:paraId="7EAFE515" w14:textId="77777777" w:rsidR="00D06EA0" w:rsidRDefault="00D06E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8926" w:type="dxa"/>
        <w:jc w:val="center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838"/>
        <w:gridCol w:w="851"/>
        <w:gridCol w:w="2268"/>
        <w:gridCol w:w="850"/>
        <w:gridCol w:w="887"/>
        <w:gridCol w:w="2232"/>
      </w:tblGrid>
      <w:tr w:rsidR="00D06EA0" w14:paraId="01F9918F" w14:textId="77777777" w:rsidTr="00D06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  <w:jc w:val="center"/>
        </w:trPr>
        <w:tc>
          <w:tcPr>
            <w:tcW w:w="8926" w:type="dxa"/>
            <w:gridSpan w:val="6"/>
            <w:vAlign w:val="center"/>
          </w:tcPr>
          <w:p w14:paraId="3CF444A0" w14:textId="77777777" w:rsidR="00D06EA0" w:rsidRDefault="00000000">
            <w:pPr>
              <w:spacing w:before="120" w:after="120"/>
              <w:rPr>
                <w:rFonts w:ascii="Montserrat SemiBold" w:eastAsia="Montserrat SemiBold" w:hAnsi="Montserrat SemiBold" w:cs="Montserrat SemiBold"/>
              </w:rPr>
            </w:pPr>
            <w:r>
              <w:rPr>
                <w:rFonts w:ascii="Montserrat SemiBold" w:eastAsia="Montserrat SemiBold" w:hAnsi="Montserrat SemiBold" w:cs="Montserrat SemiBold"/>
                <w:b w:val="0"/>
                <w:color w:val="000000"/>
              </w:rPr>
              <w:t>Risk Details</w:t>
            </w:r>
          </w:p>
        </w:tc>
      </w:tr>
      <w:tr w:rsidR="00D06EA0" w14:paraId="03ACA922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5E51CFD9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ID </w:t>
            </w:r>
          </w:p>
        </w:tc>
        <w:tc>
          <w:tcPr>
            <w:tcW w:w="3119" w:type="dxa"/>
            <w:gridSpan w:val="2"/>
          </w:tcPr>
          <w:p w14:paraId="039F9AD2" w14:textId="48C1DFD3" w:rsidR="00D06EA0" w:rsidRDefault="003B26C4">
            <w:pPr>
              <w:rPr>
                <w:color w:val="1D1A1D"/>
              </w:rPr>
            </w:pPr>
            <w:r>
              <w:rPr>
                <w:color w:val="1D1A1D"/>
              </w:rPr>
              <w:t>R-001</w:t>
            </w:r>
          </w:p>
        </w:tc>
        <w:tc>
          <w:tcPr>
            <w:tcW w:w="1737" w:type="dxa"/>
            <w:gridSpan w:val="2"/>
            <w:shd w:val="clear" w:color="auto" w:fill="F8F0DB"/>
          </w:tcPr>
          <w:p w14:paraId="1D030C62" w14:textId="77777777" w:rsidR="00D06EA0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Date Identified</w:t>
            </w:r>
          </w:p>
        </w:tc>
        <w:tc>
          <w:tcPr>
            <w:tcW w:w="2232" w:type="dxa"/>
          </w:tcPr>
          <w:p w14:paraId="18FED7E2" w14:textId="78FFBFF7" w:rsidR="00D06EA0" w:rsidRDefault="003B26C4">
            <w:pPr>
              <w:rPr>
                <w:color w:val="1D1A1D"/>
              </w:rPr>
            </w:pPr>
            <w:r>
              <w:rPr>
                <w:color w:val="1D1A1D"/>
              </w:rPr>
              <w:t>17 August 2026</w:t>
            </w:r>
          </w:p>
        </w:tc>
      </w:tr>
      <w:tr w:rsidR="00D06EA0" w14:paraId="712C6452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11E14164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Title </w:t>
            </w:r>
          </w:p>
        </w:tc>
        <w:tc>
          <w:tcPr>
            <w:tcW w:w="3119" w:type="dxa"/>
            <w:gridSpan w:val="2"/>
            <w:shd w:val="clear" w:color="auto" w:fill="auto"/>
          </w:tcPr>
          <w:p w14:paraId="09964A1C" w14:textId="3E9EBB23" w:rsidR="00D06EA0" w:rsidRDefault="003B26C4">
            <w:pPr>
              <w:rPr>
                <w:color w:val="1D1A1D"/>
              </w:rPr>
            </w:pPr>
            <w:r>
              <w:rPr>
                <w:color w:val="1D1A1D"/>
              </w:rPr>
              <w:t>Phishing Attack and data Compromise</w:t>
            </w:r>
          </w:p>
        </w:tc>
        <w:tc>
          <w:tcPr>
            <w:tcW w:w="1737" w:type="dxa"/>
            <w:gridSpan w:val="2"/>
            <w:shd w:val="clear" w:color="auto" w:fill="F8F0DB"/>
          </w:tcPr>
          <w:p w14:paraId="65A5D129" w14:textId="77777777" w:rsidR="00D06EA0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Review Date</w:t>
            </w:r>
          </w:p>
        </w:tc>
        <w:tc>
          <w:tcPr>
            <w:tcW w:w="2232" w:type="dxa"/>
            <w:shd w:val="clear" w:color="auto" w:fill="auto"/>
          </w:tcPr>
          <w:p w14:paraId="25560C8E" w14:textId="479B4170" w:rsidR="00D06EA0" w:rsidRDefault="003B26C4">
            <w:pPr>
              <w:rPr>
                <w:color w:val="1D1A1D"/>
              </w:rPr>
            </w:pPr>
            <w:r>
              <w:rPr>
                <w:color w:val="1D1A1D"/>
              </w:rPr>
              <w:t>17 September 2026</w:t>
            </w:r>
          </w:p>
        </w:tc>
      </w:tr>
      <w:tr w:rsidR="00D06EA0" w14:paraId="718AEF28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4F119B98" w14:textId="77777777" w:rsidR="00D06EA0" w:rsidRDefault="00000000">
            <w:pPr>
              <w:rPr>
                <w:b/>
                <w:color w:val="FFFFFF"/>
              </w:rPr>
            </w:pPr>
            <w:r>
              <w:rPr>
                <w:b/>
              </w:rPr>
              <w:t>Risk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</w:rPr>
              <w:t>Identification</w:t>
            </w:r>
          </w:p>
        </w:tc>
      </w:tr>
      <w:tr w:rsidR="00D06EA0" w14:paraId="023EA148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7A05C2AB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Risk Description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4A0A251D" w14:textId="790BDF38" w:rsidR="00D06EA0" w:rsidRDefault="003B26C4">
            <w:pPr>
              <w:rPr>
                <w:color w:val="1D1A1D"/>
              </w:rPr>
            </w:pPr>
            <w:r>
              <w:rPr>
                <w:color w:val="1D1A1D"/>
              </w:rPr>
              <w:t>A successful phishing attack could compromise customer credentials</w:t>
            </w:r>
            <w:r w:rsidR="008016D4">
              <w:rPr>
                <w:color w:val="1D1A1D"/>
              </w:rPr>
              <w:t xml:space="preserve"> and provide unauthorized access to internal systems and sensitive company or customer information</w:t>
            </w:r>
          </w:p>
        </w:tc>
      </w:tr>
      <w:tr w:rsidR="00D06EA0" w14:paraId="1CD0BDCE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37BDEF2B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Assets at Risk </w:t>
            </w:r>
          </w:p>
        </w:tc>
        <w:tc>
          <w:tcPr>
            <w:tcW w:w="7088" w:type="dxa"/>
            <w:gridSpan w:val="5"/>
          </w:tcPr>
          <w:p w14:paraId="0C8D1E51" w14:textId="6EED444A" w:rsidR="00D06EA0" w:rsidRDefault="008016D4">
            <w:pPr>
              <w:rPr>
                <w:color w:val="1D1A1D"/>
              </w:rPr>
            </w:pPr>
            <w:r>
              <w:rPr>
                <w:color w:val="1D1A1D"/>
              </w:rPr>
              <w:t>Employee Credentials, internal systems, customer data, salesforce, SAP and VPN access</w:t>
            </w:r>
          </w:p>
        </w:tc>
      </w:tr>
      <w:tr w:rsidR="00D06EA0" w14:paraId="27CE268C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0F0E3A0B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Threat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2FD55FEF" w14:textId="617A678B" w:rsidR="00D06EA0" w:rsidRDefault="008016D4">
            <w:pPr>
              <w:rPr>
                <w:color w:val="1D1A1D"/>
              </w:rPr>
            </w:pPr>
            <w:r>
              <w:rPr>
                <w:color w:val="1D1A1D"/>
              </w:rPr>
              <w:t>Cybercriminals conducting phishing attacks to steal employee credentials.</w:t>
            </w:r>
          </w:p>
        </w:tc>
      </w:tr>
      <w:tr w:rsidR="00D06EA0" w14:paraId="12AD2CA9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2AA990B8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Vulnerability</w:t>
            </w:r>
          </w:p>
        </w:tc>
        <w:tc>
          <w:tcPr>
            <w:tcW w:w="7088" w:type="dxa"/>
            <w:gridSpan w:val="5"/>
          </w:tcPr>
          <w:p w14:paraId="46219DBD" w14:textId="6C368B58" w:rsidR="00D06EA0" w:rsidRDefault="008016D4">
            <w:pPr>
              <w:rPr>
                <w:color w:val="1D1A1D"/>
              </w:rPr>
            </w:pPr>
            <w:r>
              <w:rPr>
                <w:color w:val="1D1A1D"/>
              </w:rPr>
              <w:t>Employees may be susceptible to phishing and credential theft; remote access through VPN increases the impact of compromised credentials.</w:t>
            </w:r>
          </w:p>
        </w:tc>
      </w:tr>
      <w:tr w:rsidR="00D06EA0" w14:paraId="18AE4F2D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1897106F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Existing Controls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765E3F46" w14:textId="2229A0F5" w:rsidR="00D06EA0" w:rsidRDefault="008016D4">
            <w:pPr>
              <w:rPr>
                <w:color w:val="1D1A1D"/>
              </w:rPr>
            </w:pPr>
            <w:r>
              <w:rPr>
                <w:color w:val="1D1A1D"/>
              </w:rPr>
              <w:t>Basic security awareness training, RBAC and VPN for remote access</w:t>
            </w:r>
          </w:p>
        </w:tc>
      </w:tr>
      <w:tr w:rsidR="00D06EA0" w14:paraId="58E36549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722036CE" w14:textId="77777777" w:rsidR="00D06EA0" w:rsidRDefault="00000000">
            <w:pPr>
              <w:rPr>
                <w:b/>
                <w:color w:val="FFFFFF"/>
              </w:rPr>
            </w:pPr>
            <w:r>
              <w:rPr>
                <w:b/>
              </w:rPr>
              <w:t>Inherent Risk Analysis</w:t>
            </w:r>
          </w:p>
        </w:tc>
      </w:tr>
      <w:tr w:rsidR="00D06EA0" w14:paraId="210A5A4D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F8F0DB"/>
          </w:tcPr>
          <w:p w14:paraId="26B18374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shd w:val="clear" w:color="auto" w:fill="F8F0DB"/>
          </w:tcPr>
          <w:p w14:paraId="030CBC21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9" w:type="dxa"/>
            <w:gridSpan w:val="2"/>
            <w:shd w:val="clear" w:color="auto" w:fill="F8F0DB"/>
          </w:tcPr>
          <w:p w14:paraId="1A9A004D" w14:textId="77777777" w:rsidR="00D06EA0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Inherent Risk Rating</w:t>
            </w:r>
          </w:p>
        </w:tc>
      </w:tr>
      <w:tr w:rsidR="00D06EA0" w14:paraId="54B1D1E5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vAlign w:val="center"/>
          </w:tcPr>
          <w:p w14:paraId="2536FBAA" w14:textId="32108AA1" w:rsidR="00D06EA0" w:rsidRDefault="008016D4">
            <w:pPr>
              <w:jc w:val="center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lastRenderedPageBreak/>
              <w:t>3</w:t>
            </w:r>
          </w:p>
        </w:tc>
        <w:tc>
          <w:tcPr>
            <w:tcW w:w="3118" w:type="dxa"/>
            <w:gridSpan w:val="2"/>
            <w:vAlign w:val="center"/>
          </w:tcPr>
          <w:p w14:paraId="49616B5E" w14:textId="48388B22" w:rsidR="00D06EA0" w:rsidRDefault="008016D4">
            <w:pPr>
              <w:jc w:val="center"/>
              <w:rPr>
                <w:color w:val="1D1A1D"/>
              </w:rPr>
            </w:pPr>
            <w:r>
              <w:rPr>
                <w:color w:val="1D1A1D"/>
              </w:rPr>
              <w:t>Unauthorized access to internal systems, compromise of employee accounts and potential</w:t>
            </w:r>
            <w:r w:rsidR="00A569B0">
              <w:rPr>
                <w:color w:val="1D1A1D"/>
              </w:rPr>
              <w:t xml:space="preserve"> exposure of customer data</w:t>
            </w:r>
            <w:r>
              <w:rPr>
                <w:color w:val="1D1A1D"/>
              </w:rPr>
              <w:t xml:space="preserve"> </w:t>
            </w:r>
          </w:p>
        </w:tc>
        <w:tc>
          <w:tcPr>
            <w:tcW w:w="3119" w:type="dxa"/>
            <w:gridSpan w:val="2"/>
            <w:vAlign w:val="center"/>
          </w:tcPr>
          <w:p w14:paraId="3960E158" w14:textId="77777777" w:rsidR="00D06EA0" w:rsidRDefault="00D06EA0">
            <w:pPr>
              <w:jc w:val="center"/>
              <w:rPr>
                <w:color w:val="1D1A1D"/>
              </w:rPr>
            </w:pPr>
          </w:p>
        </w:tc>
      </w:tr>
      <w:tr w:rsidR="00D06EA0" w14:paraId="3556B038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44CE31BB" w14:textId="77777777" w:rsidR="00D06EA0" w:rsidRDefault="00000000">
            <w:pPr>
              <w:rPr>
                <w:b/>
              </w:rPr>
            </w:pPr>
            <w:r>
              <w:rPr>
                <w:b/>
              </w:rPr>
              <w:t>Residual Risk Analysis</w:t>
            </w:r>
          </w:p>
        </w:tc>
      </w:tr>
      <w:tr w:rsidR="00D06EA0" w14:paraId="4841B952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F8F0DB"/>
          </w:tcPr>
          <w:p w14:paraId="59B333A7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Likelihood</w:t>
            </w:r>
          </w:p>
        </w:tc>
        <w:tc>
          <w:tcPr>
            <w:tcW w:w="3118" w:type="dxa"/>
            <w:gridSpan w:val="2"/>
            <w:shd w:val="clear" w:color="auto" w:fill="F8F0DB"/>
          </w:tcPr>
          <w:p w14:paraId="4AD1694E" w14:textId="77777777" w:rsidR="00D06EA0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Consequence</w:t>
            </w:r>
          </w:p>
        </w:tc>
        <w:tc>
          <w:tcPr>
            <w:tcW w:w="3119" w:type="dxa"/>
            <w:gridSpan w:val="2"/>
            <w:shd w:val="clear" w:color="auto" w:fill="F8F0DB"/>
          </w:tcPr>
          <w:p w14:paraId="5EC1B4CB" w14:textId="77777777" w:rsidR="00D06EA0" w:rsidRDefault="00000000">
            <w:pPr>
              <w:rPr>
                <w:color w:val="1D1A1D"/>
              </w:rPr>
            </w:pPr>
            <w:r>
              <w:rPr>
                <w:b/>
                <w:color w:val="1D1A1D"/>
              </w:rPr>
              <w:t>Residual Risk Rating</w:t>
            </w:r>
          </w:p>
        </w:tc>
      </w:tr>
      <w:tr w:rsidR="00D06EA0" w14:paraId="06DBC7CD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2689" w:type="dxa"/>
            <w:gridSpan w:val="2"/>
            <w:shd w:val="clear" w:color="auto" w:fill="auto"/>
            <w:vAlign w:val="center"/>
          </w:tcPr>
          <w:p w14:paraId="1C6F5602" w14:textId="3C3E7084" w:rsidR="00D06EA0" w:rsidRDefault="00A569B0">
            <w:pPr>
              <w:jc w:val="center"/>
              <w:rPr>
                <w:b/>
                <w:color w:val="1D1A1D"/>
              </w:rPr>
            </w:pPr>
            <w:r>
              <w:rPr>
                <w:b/>
                <w:color w:val="1D1A1D"/>
              </w:rPr>
              <w:t>2</w:t>
            </w:r>
          </w:p>
        </w:tc>
        <w:tc>
          <w:tcPr>
            <w:tcW w:w="3118" w:type="dxa"/>
            <w:gridSpan w:val="2"/>
            <w:shd w:val="clear" w:color="auto" w:fill="auto"/>
            <w:vAlign w:val="center"/>
          </w:tcPr>
          <w:p w14:paraId="76434EAF" w14:textId="133CFB32" w:rsidR="00D06EA0" w:rsidRDefault="00A569B0">
            <w:pPr>
              <w:jc w:val="center"/>
              <w:rPr>
                <w:color w:val="1D1A1D"/>
              </w:rPr>
            </w:pPr>
            <w:r>
              <w:rPr>
                <w:color w:val="1D1A1D"/>
              </w:rPr>
              <w:t>Unauthorized access and potential exposure of customer data despite existing controls</w:t>
            </w:r>
          </w:p>
        </w:tc>
        <w:tc>
          <w:tcPr>
            <w:tcW w:w="3119" w:type="dxa"/>
            <w:gridSpan w:val="2"/>
            <w:shd w:val="clear" w:color="auto" w:fill="auto"/>
            <w:vAlign w:val="center"/>
          </w:tcPr>
          <w:p w14:paraId="0F2E861D" w14:textId="77777777" w:rsidR="00D06EA0" w:rsidRDefault="00D06EA0">
            <w:pPr>
              <w:jc w:val="center"/>
              <w:rPr>
                <w:color w:val="1D1A1D"/>
              </w:rPr>
            </w:pPr>
          </w:p>
        </w:tc>
      </w:tr>
      <w:tr w:rsidR="00D06EA0" w14:paraId="0A86EC1D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388CBEF7" w14:textId="77777777" w:rsidR="00D06EA0" w:rsidRDefault="00000000">
            <w:pPr>
              <w:rPr>
                <w:b/>
              </w:rPr>
            </w:pPr>
            <w:r>
              <w:rPr>
                <w:b/>
              </w:rPr>
              <w:t>Risk Treatment</w:t>
            </w:r>
          </w:p>
        </w:tc>
      </w:tr>
      <w:tr w:rsidR="00D06EA0" w14:paraId="4DEB74A4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tcW w:w="1838" w:type="dxa"/>
            <w:shd w:val="clear" w:color="auto" w:fill="F8F0DB"/>
          </w:tcPr>
          <w:p w14:paraId="751CDAF7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Mitigations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6F092C0A" w14:textId="70B98BC2" w:rsidR="00D06EA0" w:rsidRDefault="00A569B0">
            <w:pPr>
              <w:rPr>
                <w:color w:val="1D1A1D"/>
              </w:rPr>
            </w:pPr>
            <w:r>
              <w:rPr>
                <w:color w:val="1D1A1D"/>
              </w:rPr>
              <w:t>Implement MFA for all remote and privileged access, strengthen phishing awareness training, conduct regular phishing simulations, enforce conditional access and monitor authentication logs for suspicious activity.</w:t>
            </w:r>
          </w:p>
        </w:tc>
      </w:tr>
      <w:tr w:rsidR="00D06EA0" w14:paraId="166AF044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tcW w:w="8926" w:type="dxa"/>
            <w:gridSpan w:val="6"/>
            <w:shd w:val="clear" w:color="auto" w:fill="F5F5F5"/>
          </w:tcPr>
          <w:p w14:paraId="5CE69EE7" w14:textId="77777777" w:rsidR="00D06EA0" w:rsidRDefault="00000000">
            <w:pPr>
              <w:rPr>
                <w:b/>
              </w:rPr>
            </w:pPr>
            <w:r>
              <w:rPr>
                <w:b/>
              </w:rPr>
              <w:t>Risk Monitoring and Review</w:t>
            </w:r>
          </w:p>
        </w:tc>
      </w:tr>
      <w:tr w:rsidR="00D06EA0" w14:paraId="510A8279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tcW w:w="1838" w:type="dxa"/>
            <w:shd w:val="clear" w:color="auto" w:fill="F8F0DB"/>
          </w:tcPr>
          <w:p w14:paraId="1F902D35" w14:textId="77777777" w:rsidR="00D06EA0" w:rsidRDefault="00000000">
            <w:pPr>
              <w:rPr>
                <w:b/>
                <w:color w:val="1D1A1D"/>
              </w:rPr>
            </w:pPr>
            <w:r>
              <w:rPr>
                <w:b/>
                <w:color w:val="1D1A1D"/>
              </w:rPr>
              <w:t xml:space="preserve">Risk Owner </w:t>
            </w:r>
          </w:p>
        </w:tc>
        <w:tc>
          <w:tcPr>
            <w:tcW w:w="7088" w:type="dxa"/>
            <w:gridSpan w:val="5"/>
            <w:shd w:val="clear" w:color="auto" w:fill="auto"/>
          </w:tcPr>
          <w:p w14:paraId="79230F2F" w14:textId="007EB779" w:rsidR="00D06EA0" w:rsidRDefault="00A569B0">
            <w:pPr>
              <w:rPr>
                <w:color w:val="1D1A1D"/>
              </w:rPr>
            </w:pPr>
            <w:r>
              <w:rPr>
                <w:color w:val="1D1A1D"/>
              </w:rPr>
              <w:t>IT Security Manager</w:t>
            </w:r>
          </w:p>
        </w:tc>
      </w:tr>
    </w:tbl>
    <w:p w14:paraId="1B3C344D" w14:textId="77777777" w:rsidR="00D06EA0" w:rsidRDefault="00D06EA0"/>
    <w:tbl>
      <w:tblPr>
        <w:tblStyle w:val="a2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61"/>
        <w:gridCol w:w="8299"/>
      </w:tblGrid>
      <w:tr w:rsidR="00D06EA0" w14:paraId="0D8F649C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FAF275D" w14:textId="77777777" w:rsidR="00D06E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To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D86203C" w14:textId="77777777" w:rsidR="00D06E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Person </w:t>
            </w:r>
            <w:proofErr w:type="spellStart"/>
            <w:r>
              <w:t>Person</w:t>
            </w:r>
            <w:proofErr w:type="spellEnd"/>
            <w:r>
              <w:t xml:space="preserve"> </w:t>
            </w:r>
            <w:proofErr w:type="spellStart"/>
            <w:r>
              <w:t>Person</w:t>
            </w:r>
            <w:proofErr w:type="spellEnd"/>
          </w:p>
        </w:tc>
      </w:tr>
      <w:tr w:rsidR="00D06EA0" w14:paraId="29135648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51135ABC" w14:textId="77777777" w:rsidR="00D06E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Cc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E8CC2A0" w14:textId="77777777" w:rsidR="00D06E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D06EA0" w14:paraId="59AF53B6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65E1E032" w14:textId="77777777" w:rsidR="00D06E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Bcc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2562C86A" w14:textId="77777777" w:rsidR="00D06E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Person</w:t>
            </w:r>
          </w:p>
        </w:tc>
      </w:tr>
      <w:tr w:rsidR="00D06EA0" w14:paraId="222D2C54" w14:textId="77777777">
        <w:tc>
          <w:tcPr>
            <w:tcW w:w="1061" w:type="dxa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shd w:val="clear" w:color="auto" w:fill="F1F3F4"/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62B58B7" w14:textId="77777777" w:rsidR="00D06EA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</w:pPr>
            <w:r>
              <w:rPr>
                <w:b/>
              </w:rPr>
              <w:t>Subject</w:t>
            </w:r>
          </w:p>
        </w:tc>
        <w:tc>
          <w:tcPr>
            <w:tcW w:w="8298" w:type="dxa"/>
            <w:tcBorders>
              <w:top w:val="single" w:sz="8" w:space="0" w:color="BDC1C6"/>
              <w:left w:val="single" w:sz="8" w:space="0" w:color="BDC1C6"/>
              <w:bottom w:val="single" w:sz="8" w:space="0" w:color="BDC1C6"/>
              <w:right w:val="nil"/>
            </w:tcBorders>
            <w:tcMar>
              <w:top w:w="144" w:type="dxa"/>
              <w:left w:w="144" w:type="dxa"/>
              <w:bottom w:w="144" w:type="dxa"/>
              <w:right w:w="144" w:type="dxa"/>
            </w:tcMar>
          </w:tcPr>
          <w:p w14:paraId="37F73807" w14:textId="77777777" w:rsidR="00D06EA0" w:rsidRDefault="00D06E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06EA0" w14:paraId="373D322C" w14:textId="77777777">
        <w:trPr>
          <w:trHeight w:val="2000"/>
        </w:trPr>
        <w:tc>
          <w:tcPr>
            <w:tcW w:w="9359" w:type="dxa"/>
            <w:gridSpan w:val="2"/>
            <w:tcBorders>
              <w:top w:val="single" w:sz="8" w:space="0" w:color="BDC1C6"/>
              <w:left w:val="nil"/>
              <w:bottom w:val="single" w:sz="8" w:space="0" w:color="BDC1C6"/>
              <w:right w:val="single" w:sz="8" w:space="0" w:color="BDC1C6"/>
            </w:tcBorders>
            <w:tcMar>
              <w:top w:w="240" w:type="dxa"/>
              <w:left w:w="144" w:type="dxa"/>
              <w:bottom w:w="144" w:type="dxa"/>
              <w:right w:w="144" w:type="dxa"/>
            </w:tcMar>
          </w:tcPr>
          <w:p w14:paraId="3A0A4671" w14:textId="77777777" w:rsidR="00D06EA0" w:rsidRDefault="00D06EA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222222"/>
                <w:sz w:val="20"/>
                <w:szCs w:val="20"/>
              </w:rPr>
            </w:pPr>
          </w:p>
        </w:tc>
      </w:tr>
    </w:tbl>
    <w:p w14:paraId="41BA82A6" w14:textId="77777777" w:rsidR="00D06EA0" w:rsidRDefault="00D06EA0"/>
    <w:p w14:paraId="2B32EAC7" w14:textId="77777777" w:rsidR="00D06EA0" w:rsidRDefault="00D06EA0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</w:p>
    <w:p w14:paraId="5B65B147" w14:textId="77777777" w:rsidR="00D06EA0" w:rsidRDefault="00D06EA0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</w:p>
    <w:p w14:paraId="674EDA97" w14:textId="77777777" w:rsidR="00D06EA0" w:rsidRDefault="00000000">
      <w:pPr>
        <w:spacing w:line="240" w:lineRule="auto"/>
        <w:jc w:val="center"/>
        <w:rPr>
          <w:rFonts w:ascii="Calibri" w:eastAsia="Calibri" w:hAnsi="Calibri" w:cs="Calibri"/>
          <w:color w:val="0000FF"/>
          <w:sz w:val="28"/>
          <w:szCs w:val="28"/>
        </w:rPr>
      </w:pPr>
      <w:r>
        <w:rPr>
          <w:rFonts w:ascii="Calibri" w:eastAsia="Calibri" w:hAnsi="Calibri" w:cs="Calibri"/>
          <w:color w:val="0000FF"/>
          <w:sz w:val="28"/>
          <w:szCs w:val="28"/>
        </w:rPr>
        <w:t xml:space="preserve">Cybersecurity Risk </w:t>
      </w:r>
      <w:proofErr w:type="spellStart"/>
      <w:r>
        <w:rPr>
          <w:rFonts w:ascii="Calibri" w:eastAsia="Calibri" w:hAnsi="Calibri" w:cs="Calibri"/>
          <w:color w:val="0000FF"/>
          <w:sz w:val="28"/>
          <w:szCs w:val="28"/>
        </w:rPr>
        <w:t>Prioritisation</w:t>
      </w:r>
      <w:proofErr w:type="spellEnd"/>
      <w:r>
        <w:rPr>
          <w:rFonts w:ascii="Calibri" w:eastAsia="Calibri" w:hAnsi="Calibri" w:cs="Calibri"/>
          <w:color w:val="0000FF"/>
          <w:sz w:val="28"/>
          <w:szCs w:val="28"/>
        </w:rPr>
        <w:t xml:space="preserve"> Matrix</w:t>
      </w:r>
    </w:p>
    <w:p w14:paraId="5724BEFA" w14:textId="77777777" w:rsidR="00D06EA0" w:rsidRDefault="00D06EA0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7BF5AC8" w14:textId="77777777" w:rsidR="00D06EA0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Understanding the Likelihood Rating</w:t>
      </w:r>
    </w:p>
    <w:p w14:paraId="430A7BF4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table below provides the categories and ratings for likelihood:</w:t>
      </w:r>
    </w:p>
    <w:tbl>
      <w:tblPr>
        <w:tblStyle w:val="a3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720"/>
        <w:gridCol w:w="2660"/>
        <w:gridCol w:w="6420"/>
      </w:tblGrid>
      <w:tr w:rsidR="00D06EA0" w14:paraId="5AF9AB77" w14:textId="77777777" w:rsidTr="00D06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6"/>
          <w:tblHeader/>
        </w:trPr>
        <w:tc>
          <w:tcPr>
            <w:tcW w:w="1720" w:type="dxa"/>
            <w:shd w:val="clear" w:color="auto" w:fill="0000FF"/>
            <w:vAlign w:val="center"/>
          </w:tcPr>
          <w:p w14:paraId="04421C8E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lastRenderedPageBreak/>
              <w:t>Likelihood Ratings</w:t>
            </w:r>
          </w:p>
        </w:tc>
        <w:tc>
          <w:tcPr>
            <w:tcW w:w="2660" w:type="dxa"/>
            <w:shd w:val="clear" w:color="auto" w:fill="0000FF"/>
            <w:vAlign w:val="center"/>
          </w:tcPr>
          <w:p w14:paraId="774E300D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  <w:tc>
          <w:tcPr>
            <w:tcW w:w="6420" w:type="dxa"/>
            <w:shd w:val="clear" w:color="auto" w:fill="0000FF"/>
            <w:vAlign w:val="center"/>
          </w:tcPr>
          <w:p w14:paraId="0D9652F8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</w:tr>
      <w:tr w:rsidR="00D06EA0" w14:paraId="1C7D9A15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1"/>
        </w:trPr>
        <w:tc>
          <w:tcPr>
            <w:tcW w:w="1720" w:type="dxa"/>
            <w:vAlign w:val="center"/>
          </w:tcPr>
          <w:p w14:paraId="3733D6FD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Rare (1)</w:t>
            </w:r>
          </w:p>
        </w:tc>
        <w:tc>
          <w:tcPr>
            <w:tcW w:w="2660" w:type="dxa"/>
          </w:tcPr>
          <w:p w14:paraId="5ACB6AD2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Exceptional circumstances only</w:t>
            </w:r>
          </w:p>
        </w:tc>
        <w:tc>
          <w:tcPr>
            <w:tcW w:w="6420" w:type="dxa"/>
          </w:tcPr>
          <w:p w14:paraId="48CDDBFF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May occur only in very unusual situations </w:t>
            </w:r>
          </w:p>
        </w:tc>
      </w:tr>
      <w:tr w:rsidR="00D06EA0" w14:paraId="2D1104BC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85"/>
        </w:trPr>
        <w:tc>
          <w:tcPr>
            <w:tcW w:w="1720" w:type="dxa"/>
            <w:shd w:val="clear" w:color="auto" w:fill="auto"/>
            <w:vAlign w:val="center"/>
          </w:tcPr>
          <w:p w14:paraId="198CE64E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Unlikely (2)</w:t>
            </w:r>
          </w:p>
        </w:tc>
        <w:tc>
          <w:tcPr>
            <w:tcW w:w="2660" w:type="dxa"/>
            <w:shd w:val="clear" w:color="auto" w:fill="auto"/>
          </w:tcPr>
          <w:p w14:paraId="4D6C0D89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Possible, but not expected</w:t>
            </w:r>
          </w:p>
        </w:tc>
        <w:tc>
          <w:tcPr>
            <w:tcW w:w="6420" w:type="dxa"/>
            <w:shd w:val="clear" w:color="auto" w:fill="auto"/>
          </w:tcPr>
          <w:p w14:paraId="45501A62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Could happen but not typical; requires specific conditions (e.g. targeted phishing bypassing all filters).</w:t>
            </w:r>
          </w:p>
        </w:tc>
      </w:tr>
      <w:tr w:rsidR="00D06EA0" w14:paraId="34E46A3F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91"/>
        </w:trPr>
        <w:tc>
          <w:tcPr>
            <w:tcW w:w="1720" w:type="dxa"/>
            <w:vAlign w:val="center"/>
          </w:tcPr>
          <w:p w14:paraId="00EF5FB1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Possible (3)</w:t>
            </w:r>
          </w:p>
        </w:tc>
        <w:tc>
          <w:tcPr>
            <w:tcW w:w="2660" w:type="dxa"/>
          </w:tcPr>
          <w:p w14:paraId="7A36B009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Might occur at some point</w:t>
            </w:r>
          </w:p>
        </w:tc>
        <w:tc>
          <w:tcPr>
            <w:tcW w:w="6420" w:type="dxa"/>
          </w:tcPr>
          <w:p w14:paraId="1F0C45F4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 xml:space="preserve">Has occurred in similar </w:t>
            </w:r>
            <w:proofErr w:type="spellStart"/>
            <w:r>
              <w:rPr>
                <w:rFonts w:ascii="Calibri" w:eastAsia="Calibri" w:hAnsi="Calibri" w:cs="Calibri"/>
                <w:color w:val="1D1A1D"/>
              </w:rPr>
              <w:t>organisations</w:t>
            </w:r>
            <w:proofErr w:type="spellEnd"/>
            <w:r>
              <w:rPr>
                <w:rFonts w:ascii="Calibri" w:eastAsia="Calibri" w:hAnsi="Calibri" w:cs="Calibri"/>
                <w:color w:val="1D1A1D"/>
              </w:rPr>
              <w:t>; realistic but not frequent (e.g. ransomware attempt on enterprise endpoint).</w:t>
            </w:r>
          </w:p>
        </w:tc>
      </w:tr>
      <w:tr w:rsidR="00D06EA0" w14:paraId="7CEA1C3F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285"/>
        </w:trPr>
        <w:tc>
          <w:tcPr>
            <w:tcW w:w="1720" w:type="dxa"/>
            <w:shd w:val="clear" w:color="auto" w:fill="auto"/>
            <w:vAlign w:val="center"/>
          </w:tcPr>
          <w:p w14:paraId="39CCCD1A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Likely (4)</w:t>
            </w:r>
          </w:p>
        </w:tc>
        <w:tc>
          <w:tcPr>
            <w:tcW w:w="2660" w:type="dxa"/>
            <w:shd w:val="clear" w:color="auto" w:fill="auto"/>
          </w:tcPr>
          <w:p w14:paraId="00E52C9A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Will probably occur in most circumstances</w:t>
            </w:r>
          </w:p>
        </w:tc>
        <w:tc>
          <w:tcPr>
            <w:tcW w:w="6420" w:type="dxa"/>
            <w:shd w:val="clear" w:color="auto" w:fill="auto"/>
          </w:tcPr>
          <w:p w14:paraId="72ECAE5D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Expected to happen periodically (e.g. phishing emails, credential stuffing attempts).</w:t>
            </w:r>
          </w:p>
        </w:tc>
      </w:tr>
      <w:tr w:rsidR="00D06EA0" w14:paraId="56B3B899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81"/>
        </w:trPr>
        <w:tc>
          <w:tcPr>
            <w:tcW w:w="1720" w:type="dxa"/>
            <w:vAlign w:val="center"/>
          </w:tcPr>
          <w:p w14:paraId="3C4A8902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Almost Certain (5)</w:t>
            </w:r>
          </w:p>
        </w:tc>
        <w:tc>
          <w:tcPr>
            <w:tcW w:w="2660" w:type="dxa"/>
          </w:tcPr>
          <w:p w14:paraId="1276EFC4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Expected to occur frequently</w:t>
            </w:r>
          </w:p>
        </w:tc>
        <w:tc>
          <w:tcPr>
            <w:tcW w:w="6420" w:type="dxa"/>
          </w:tcPr>
          <w:p w14:paraId="77D8E41A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Has occurred multiple times, highly predictable (e.g. malware probes, daily scanning activity).</w:t>
            </w:r>
          </w:p>
        </w:tc>
      </w:tr>
    </w:tbl>
    <w:p w14:paraId="47BDA8DD" w14:textId="77777777" w:rsidR="00D06EA0" w:rsidRDefault="00D06EA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203F39C" w14:textId="77777777" w:rsidR="00D06EA0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Understanding the Consequence Ratings Table</w:t>
      </w:r>
    </w:p>
    <w:p w14:paraId="7CA592E4" w14:textId="77777777" w:rsidR="00D06EA0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table below provides the categories and ratings for impacts:</w:t>
      </w:r>
    </w:p>
    <w:tbl>
      <w:tblPr>
        <w:tblStyle w:val="a4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640"/>
        <w:gridCol w:w="2900"/>
        <w:gridCol w:w="6260"/>
      </w:tblGrid>
      <w:tr w:rsidR="00D06EA0" w14:paraId="12C1A0E9" w14:textId="77777777" w:rsidTr="00D06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"/>
        </w:trPr>
        <w:tc>
          <w:tcPr>
            <w:tcW w:w="1640" w:type="dxa"/>
            <w:shd w:val="clear" w:color="auto" w:fill="0000FF"/>
            <w:vAlign w:val="center"/>
          </w:tcPr>
          <w:p w14:paraId="77013241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Consequence Rating</w:t>
            </w:r>
          </w:p>
        </w:tc>
        <w:tc>
          <w:tcPr>
            <w:tcW w:w="2900" w:type="dxa"/>
            <w:shd w:val="clear" w:color="auto" w:fill="0000FF"/>
            <w:vAlign w:val="center"/>
          </w:tcPr>
          <w:p w14:paraId="03F1EA84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Description</w:t>
            </w:r>
          </w:p>
        </w:tc>
        <w:tc>
          <w:tcPr>
            <w:tcW w:w="6260" w:type="dxa"/>
            <w:shd w:val="clear" w:color="auto" w:fill="0000FF"/>
            <w:vAlign w:val="center"/>
          </w:tcPr>
          <w:p w14:paraId="72BE8A04" w14:textId="77777777" w:rsidR="00D06EA0" w:rsidRDefault="00000000">
            <w:pPr>
              <w:spacing w:before="120" w:after="120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b w:val="0"/>
                <w:color w:val="000000"/>
              </w:rPr>
              <w:t>Criteria</w:t>
            </w:r>
          </w:p>
        </w:tc>
      </w:tr>
      <w:tr w:rsidR="00D06EA0" w14:paraId="344B6487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tcW w:w="1640" w:type="dxa"/>
            <w:vAlign w:val="center"/>
          </w:tcPr>
          <w:p w14:paraId="2946BC06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Insignificant (1)</w:t>
            </w:r>
          </w:p>
        </w:tc>
        <w:tc>
          <w:tcPr>
            <w:tcW w:w="2900" w:type="dxa"/>
          </w:tcPr>
          <w:p w14:paraId="19A8008F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Negligible impact</w:t>
            </w:r>
          </w:p>
        </w:tc>
        <w:tc>
          <w:tcPr>
            <w:tcW w:w="6260" w:type="dxa"/>
          </w:tcPr>
          <w:p w14:paraId="5D2A2146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No compromise of sensitive data, no disruption, minimal financial or reputational impact.</w:t>
            </w:r>
          </w:p>
        </w:tc>
      </w:tr>
      <w:tr w:rsidR="00D06EA0" w14:paraId="62326D1A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0"/>
        </w:trPr>
        <w:tc>
          <w:tcPr>
            <w:tcW w:w="1640" w:type="dxa"/>
            <w:shd w:val="clear" w:color="auto" w:fill="auto"/>
            <w:vAlign w:val="center"/>
          </w:tcPr>
          <w:p w14:paraId="4B5C70AD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Minor (2)</w:t>
            </w:r>
          </w:p>
        </w:tc>
        <w:tc>
          <w:tcPr>
            <w:tcW w:w="2900" w:type="dxa"/>
            <w:shd w:val="clear" w:color="auto" w:fill="auto"/>
          </w:tcPr>
          <w:p w14:paraId="345B6A53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Small impact</w:t>
            </w:r>
          </w:p>
        </w:tc>
        <w:tc>
          <w:tcPr>
            <w:tcW w:w="6260" w:type="dxa"/>
            <w:shd w:val="clear" w:color="auto" w:fill="auto"/>
          </w:tcPr>
          <w:p w14:paraId="320AC4F3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Limited operational disruption; minimal data exposure (non-sensitive data); easily contained.</w:t>
            </w:r>
          </w:p>
        </w:tc>
      </w:tr>
      <w:tr w:rsidR="00D06EA0" w14:paraId="2E40C5F3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8"/>
        </w:trPr>
        <w:tc>
          <w:tcPr>
            <w:tcW w:w="1640" w:type="dxa"/>
            <w:vAlign w:val="center"/>
          </w:tcPr>
          <w:p w14:paraId="43905B95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Moderate (3)</w:t>
            </w:r>
          </w:p>
        </w:tc>
        <w:tc>
          <w:tcPr>
            <w:tcW w:w="2900" w:type="dxa"/>
          </w:tcPr>
          <w:p w14:paraId="14163481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Noticeable impact</w:t>
            </w:r>
          </w:p>
        </w:tc>
        <w:tc>
          <w:tcPr>
            <w:tcW w:w="6260" w:type="dxa"/>
          </w:tcPr>
          <w:p w14:paraId="32E8F661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Partial service disruption; limited sensitive data exposure; moderate cost or compliance breach.</w:t>
            </w:r>
          </w:p>
        </w:tc>
      </w:tr>
      <w:tr w:rsidR="00D06EA0" w14:paraId="2C37AB03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70"/>
        </w:trPr>
        <w:tc>
          <w:tcPr>
            <w:tcW w:w="1640" w:type="dxa"/>
            <w:shd w:val="clear" w:color="auto" w:fill="auto"/>
            <w:vAlign w:val="center"/>
          </w:tcPr>
          <w:p w14:paraId="05F6C589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Major (4)</w:t>
            </w:r>
          </w:p>
        </w:tc>
        <w:tc>
          <w:tcPr>
            <w:tcW w:w="2900" w:type="dxa"/>
            <w:shd w:val="clear" w:color="auto" w:fill="auto"/>
          </w:tcPr>
          <w:p w14:paraId="6704CC78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Severe impact</w:t>
            </w:r>
          </w:p>
        </w:tc>
        <w:tc>
          <w:tcPr>
            <w:tcW w:w="6260" w:type="dxa"/>
            <w:shd w:val="clear" w:color="auto" w:fill="auto"/>
          </w:tcPr>
          <w:p w14:paraId="3E24FE2C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Significant outage of critical systems; large-scale sensitive data breach; regulatory non-compliance with penalties.</w:t>
            </w:r>
          </w:p>
        </w:tc>
      </w:tr>
      <w:tr w:rsidR="00D06EA0" w14:paraId="633D2A9A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9"/>
        </w:trPr>
        <w:tc>
          <w:tcPr>
            <w:tcW w:w="1640" w:type="dxa"/>
            <w:vAlign w:val="center"/>
          </w:tcPr>
          <w:p w14:paraId="6EA86170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</w:rPr>
            </w:pPr>
            <w:r>
              <w:rPr>
                <w:rFonts w:ascii="Calibri" w:eastAsia="Calibri" w:hAnsi="Calibri" w:cs="Calibri"/>
                <w:b/>
                <w:color w:val="1D1A1D"/>
              </w:rPr>
              <w:t>Extreme (5)</w:t>
            </w:r>
          </w:p>
        </w:tc>
        <w:tc>
          <w:tcPr>
            <w:tcW w:w="2900" w:type="dxa"/>
          </w:tcPr>
          <w:p w14:paraId="4CAEED3D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Catastrophic impact</w:t>
            </w:r>
          </w:p>
        </w:tc>
        <w:tc>
          <w:tcPr>
            <w:tcW w:w="6260" w:type="dxa"/>
          </w:tcPr>
          <w:p w14:paraId="6DD01832" w14:textId="77777777" w:rsidR="00D06EA0" w:rsidRDefault="00000000">
            <w:pPr>
              <w:rPr>
                <w:rFonts w:ascii="Calibri" w:eastAsia="Calibri" w:hAnsi="Calibri" w:cs="Calibri"/>
                <w:color w:val="1D1A1D"/>
              </w:rPr>
            </w:pPr>
            <w:r>
              <w:rPr>
                <w:rFonts w:ascii="Calibri" w:eastAsia="Calibri" w:hAnsi="Calibri" w:cs="Calibri"/>
                <w:color w:val="1D1A1D"/>
              </w:rPr>
              <w:t>Extended enterprise-wide outage; compromise of PROTECTED/SECRET data; severe financial/reputational damage; possible criminal or regulatory prosecution.</w:t>
            </w:r>
          </w:p>
        </w:tc>
      </w:tr>
    </w:tbl>
    <w:p w14:paraId="3C983A46" w14:textId="77777777" w:rsidR="00D06EA0" w:rsidRDefault="00D06EA0">
      <w:pPr>
        <w:spacing w:line="240" w:lineRule="auto"/>
        <w:jc w:val="center"/>
        <w:rPr>
          <w:b/>
          <w:sz w:val="36"/>
          <w:szCs w:val="36"/>
        </w:rPr>
      </w:pPr>
    </w:p>
    <w:p w14:paraId="37007196" w14:textId="77777777" w:rsidR="00D06EA0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 xml:space="preserve">The 5x5 Risk Matrix </w:t>
      </w:r>
    </w:p>
    <w:p w14:paraId="27125F63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 this 5x5 risk matrix to evaluate and </w:t>
      </w:r>
      <w:proofErr w:type="spellStart"/>
      <w:r>
        <w:rPr>
          <w:rFonts w:ascii="Calibri" w:eastAsia="Calibri" w:hAnsi="Calibri" w:cs="Calibri"/>
          <w:sz w:val="24"/>
          <w:szCs w:val="24"/>
        </w:rPr>
        <w:t>prioritise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cybersecurity risks. For each identified risk, assess its likelihood (1 = Rare, 5 = Almost Certain) and impact (1 = Insignificant, 5 = Critical). Plot the risk in the matrix and use the result to guide mitigation priorities.</w:t>
      </w:r>
    </w:p>
    <w:p w14:paraId="06E20EEB" w14:textId="77777777" w:rsidR="00D06EA0" w:rsidRDefault="00D06EA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2962F875" w14:textId="77777777" w:rsidR="00D06EA0" w:rsidRDefault="00D06EA0">
      <w:pPr>
        <w:rPr>
          <w:rFonts w:ascii="Calibri" w:eastAsia="Calibri" w:hAnsi="Calibri" w:cs="Calibri"/>
          <w:sz w:val="24"/>
          <w:szCs w:val="24"/>
        </w:rPr>
      </w:pPr>
    </w:p>
    <w:p w14:paraId="54E264FD" w14:textId="77777777" w:rsidR="00D06EA0" w:rsidRDefault="00D06EA0">
      <w:pPr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0C491880" w14:textId="77777777" w:rsidR="00D06EA0" w:rsidRDefault="00D06EA0">
      <w:pPr>
        <w:rPr>
          <w:rFonts w:ascii="Calibri" w:eastAsia="Calibri" w:hAnsi="Calibri" w:cs="Calibri"/>
          <w:b/>
          <w:color w:val="0000FF"/>
          <w:sz w:val="24"/>
          <w:szCs w:val="24"/>
        </w:rPr>
      </w:pPr>
    </w:p>
    <w:p w14:paraId="6B3DB120" w14:textId="77777777" w:rsidR="00D06EA0" w:rsidRDefault="00000000">
      <w:pPr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Risk Levels</w:t>
      </w:r>
    </w:p>
    <w:p w14:paraId="38C11588" w14:textId="77777777" w:rsidR="00D06EA0" w:rsidRDefault="00D06EA0">
      <w:pPr>
        <w:rPr>
          <w:rFonts w:ascii="Calibri" w:eastAsia="Calibri" w:hAnsi="Calibri" w:cs="Calibri"/>
          <w:sz w:val="24"/>
          <w:szCs w:val="24"/>
        </w:rPr>
      </w:pPr>
    </w:p>
    <w:p w14:paraId="6263D473" w14:textId="77777777" w:rsidR="00D06EA0" w:rsidRDefault="00D06EA0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5"/>
        <w:tblpPr w:leftFromText="180" w:rightFromText="180" w:topFromText="180" w:bottomFromText="180" w:vertAnchor="text" w:tblpX="-465"/>
        <w:tblW w:w="10800" w:type="dxa"/>
        <w:tblInd w:w="0" w:type="dxa"/>
        <w:tblBorders>
          <w:top w:val="single" w:sz="4" w:space="0" w:color="1D1A1D"/>
          <w:left w:val="single" w:sz="4" w:space="0" w:color="1D1A1D"/>
          <w:bottom w:val="single" w:sz="4" w:space="0" w:color="1D1A1D"/>
          <w:right w:val="single" w:sz="4" w:space="0" w:color="1D1A1D"/>
          <w:insideH w:val="single" w:sz="4" w:space="0" w:color="1D1A1D"/>
          <w:insideV w:val="single" w:sz="4" w:space="0" w:color="1D1A1D"/>
        </w:tblBorders>
        <w:tblLayout w:type="fixed"/>
        <w:tblLook w:val="0420" w:firstRow="1" w:lastRow="0" w:firstColumn="0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D06EA0" w14:paraId="4F69CF2A" w14:textId="77777777" w:rsidTr="00D06E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7"/>
          <w:tblHeader/>
        </w:trPr>
        <w:tc>
          <w:tcPr>
            <w:tcW w:w="1800" w:type="dxa"/>
            <w:vAlign w:val="center"/>
          </w:tcPr>
          <w:p w14:paraId="2ADA3C03" w14:textId="77777777" w:rsidR="00D06EA0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Likelihood ↓</w:t>
            </w:r>
          </w:p>
          <w:p w14:paraId="113CF8B6" w14:textId="77777777" w:rsidR="00D06EA0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Impact →</w:t>
            </w:r>
          </w:p>
        </w:tc>
        <w:tc>
          <w:tcPr>
            <w:tcW w:w="1800" w:type="dxa"/>
            <w:vAlign w:val="center"/>
          </w:tcPr>
          <w:p w14:paraId="6B1E2BBE" w14:textId="77777777" w:rsidR="00D06EA0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Insignificant (1)</w:t>
            </w:r>
          </w:p>
        </w:tc>
        <w:tc>
          <w:tcPr>
            <w:tcW w:w="1800" w:type="dxa"/>
            <w:vAlign w:val="center"/>
          </w:tcPr>
          <w:p w14:paraId="7F80F8C1" w14:textId="77777777" w:rsidR="00D06EA0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Minor (2)</w:t>
            </w:r>
          </w:p>
        </w:tc>
        <w:tc>
          <w:tcPr>
            <w:tcW w:w="1800" w:type="dxa"/>
            <w:vAlign w:val="center"/>
          </w:tcPr>
          <w:p w14:paraId="11D3F123" w14:textId="77777777" w:rsidR="00D06EA0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Moderate (3)</w:t>
            </w:r>
          </w:p>
        </w:tc>
        <w:tc>
          <w:tcPr>
            <w:tcW w:w="1800" w:type="dxa"/>
            <w:vAlign w:val="center"/>
          </w:tcPr>
          <w:p w14:paraId="0AD68A49" w14:textId="77777777" w:rsidR="00D06EA0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Major (4)</w:t>
            </w:r>
          </w:p>
        </w:tc>
        <w:tc>
          <w:tcPr>
            <w:tcW w:w="1800" w:type="dxa"/>
            <w:vAlign w:val="center"/>
          </w:tcPr>
          <w:p w14:paraId="6383B955" w14:textId="77777777" w:rsidR="00D06EA0" w:rsidRDefault="00000000">
            <w:pPr>
              <w:spacing w:before="120" w:after="120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 w:val="0"/>
                <w:color w:val="000000"/>
                <w:sz w:val="22"/>
                <w:szCs w:val="22"/>
              </w:rPr>
              <w:t>Extreme (5)</w:t>
            </w:r>
          </w:p>
        </w:tc>
      </w:tr>
      <w:tr w:rsidR="00D06EA0" w14:paraId="544CBDF6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543"/>
        </w:trPr>
        <w:tc>
          <w:tcPr>
            <w:tcW w:w="1800" w:type="dxa"/>
          </w:tcPr>
          <w:p w14:paraId="293D5D91" w14:textId="77777777" w:rsidR="00D06EA0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5 – Almost Certain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323B5F50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2AC45F86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4A915AE4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4558B40B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76FFF451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 w:rsidR="00D06EA0" w14:paraId="329A99FE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48"/>
        </w:trPr>
        <w:tc>
          <w:tcPr>
            <w:tcW w:w="1800" w:type="dxa"/>
            <w:shd w:val="clear" w:color="auto" w:fill="auto"/>
          </w:tcPr>
          <w:p w14:paraId="1F206DFF" w14:textId="77777777" w:rsidR="00D06EA0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4 – Likely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3A288B21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406E535F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638129F1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6D32F8DC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0000"/>
            <w:vAlign w:val="center"/>
          </w:tcPr>
          <w:p w14:paraId="578208DB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EXTREME</w:t>
            </w:r>
          </w:p>
        </w:tc>
      </w:tr>
      <w:tr w:rsidR="00D06EA0" w14:paraId="111F0761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8"/>
        </w:trPr>
        <w:tc>
          <w:tcPr>
            <w:tcW w:w="1800" w:type="dxa"/>
          </w:tcPr>
          <w:p w14:paraId="70127658" w14:textId="77777777" w:rsidR="00D06EA0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3 – Possible</w:t>
            </w:r>
          </w:p>
        </w:tc>
        <w:tc>
          <w:tcPr>
            <w:tcW w:w="1800" w:type="dxa"/>
            <w:shd w:val="clear" w:color="auto" w:fill="92D050"/>
            <w:vAlign w:val="center"/>
          </w:tcPr>
          <w:p w14:paraId="0F52FC57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7DA75E82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18E19751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2176BC18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631AAB00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 w:rsidR="00D06EA0" w14:paraId="1346D27F" w14:textId="77777777" w:rsidTr="00D06EA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trHeight w:val="348"/>
        </w:trPr>
        <w:tc>
          <w:tcPr>
            <w:tcW w:w="1800" w:type="dxa"/>
            <w:shd w:val="clear" w:color="auto" w:fill="auto"/>
          </w:tcPr>
          <w:p w14:paraId="6E6AC8B0" w14:textId="77777777" w:rsidR="00D06EA0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2 – Unlikely</w:t>
            </w:r>
          </w:p>
        </w:tc>
        <w:tc>
          <w:tcPr>
            <w:tcW w:w="1800" w:type="dxa"/>
            <w:shd w:val="clear" w:color="auto" w:fill="92D050"/>
          </w:tcPr>
          <w:p w14:paraId="11A1E779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0B39D737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45020CAE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7AAD55C9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C000"/>
            <w:vAlign w:val="center"/>
          </w:tcPr>
          <w:p w14:paraId="66C0F368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HIGH</w:t>
            </w:r>
          </w:p>
        </w:tc>
      </w:tr>
      <w:tr w:rsidR="00D06EA0" w14:paraId="1A654096" w14:textId="77777777" w:rsidTr="00D06E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48"/>
        </w:trPr>
        <w:tc>
          <w:tcPr>
            <w:tcW w:w="1800" w:type="dxa"/>
          </w:tcPr>
          <w:p w14:paraId="1F061354" w14:textId="77777777" w:rsidR="00D06EA0" w:rsidRDefault="00000000">
            <w:pPr>
              <w:rPr>
                <w:rFonts w:ascii="Calibri" w:eastAsia="Calibri" w:hAnsi="Calibri" w:cs="Calibri"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D1A1D"/>
                <w:sz w:val="22"/>
                <w:szCs w:val="22"/>
              </w:rPr>
              <w:t>1 – Rare</w:t>
            </w:r>
          </w:p>
        </w:tc>
        <w:tc>
          <w:tcPr>
            <w:tcW w:w="1800" w:type="dxa"/>
            <w:shd w:val="clear" w:color="auto" w:fill="92D050"/>
          </w:tcPr>
          <w:p w14:paraId="4720320A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392C9023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92D050"/>
          </w:tcPr>
          <w:p w14:paraId="7DA254C5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LOW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579B0366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  <w:tc>
          <w:tcPr>
            <w:tcW w:w="1800" w:type="dxa"/>
            <w:shd w:val="clear" w:color="auto" w:fill="FFFF00"/>
            <w:vAlign w:val="center"/>
          </w:tcPr>
          <w:p w14:paraId="70DE4761" w14:textId="77777777" w:rsidR="00D06EA0" w:rsidRDefault="00000000">
            <w:pPr>
              <w:jc w:val="center"/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color w:val="1D1A1D"/>
                <w:sz w:val="22"/>
                <w:szCs w:val="22"/>
              </w:rPr>
              <w:t>MEDIUM</w:t>
            </w:r>
          </w:p>
        </w:tc>
      </w:tr>
    </w:tbl>
    <w:p w14:paraId="396B8725" w14:textId="77777777" w:rsidR="00D06EA0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Low</w:t>
      </w:r>
      <w:r>
        <w:rPr>
          <w:rFonts w:ascii="Calibri" w:eastAsia="Calibri" w:hAnsi="Calibri" w:cs="Calibri"/>
          <w:sz w:val="24"/>
          <w:szCs w:val="24"/>
        </w:rPr>
        <w:t> – Acceptable; manage by routine controls and monitoring. </w:t>
      </w:r>
    </w:p>
    <w:p w14:paraId="6D2C694F" w14:textId="77777777" w:rsidR="00D06EA0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Medium</w:t>
      </w:r>
      <w:r>
        <w:rPr>
          <w:rFonts w:ascii="Calibri" w:eastAsia="Calibri" w:hAnsi="Calibri" w:cs="Calibri"/>
          <w:sz w:val="24"/>
          <w:szCs w:val="24"/>
        </w:rPr>
        <w:t> – Requires management attention; additional controls may be needed. </w:t>
      </w:r>
    </w:p>
    <w:p w14:paraId="5BD0F7DB" w14:textId="77777777" w:rsidR="00D06EA0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High</w:t>
      </w:r>
      <w:r>
        <w:rPr>
          <w:rFonts w:ascii="Calibri" w:eastAsia="Calibri" w:hAnsi="Calibri" w:cs="Calibri"/>
          <w:sz w:val="24"/>
          <w:szCs w:val="24"/>
        </w:rPr>
        <w:t> – Significant; must be treated with priority, monitored closely, and escalated to senior management. </w:t>
      </w:r>
    </w:p>
    <w:p w14:paraId="7AC165A5" w14:textId="77777777" w:rsidR="00D06EA0" w:rsidRDefault="00000000">
      <w:pPr>
        <w:numPr>
          <w:ilvl w:val="0"/>
          <w:numId w:val="1"/>
        </w:numPr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  <w:b/>
          <w:sz w:val="24"/>
          <w:szCs w:val="24"/>
        </w:rPr>
        <w:t>Extreme</w:t>
      </w:r>
      <w:r>
        <w:rPr>
          <w:rFonts w:ascii="Calibri" w:eastAsia="Calibri" w:hAnsi="Calibri" w:cs="Calibri"/>
          <w:sz w:val="24"/>
          <w:szCs w:val="24"/>
        </w:rPr>
        <w:t> – Unacceptable; immediate executive-level attention and remediation required. </w:t>
      </w:r>
    </w:p>
    <w:p w14:paraId="68656A05" w14:textId="77777777" w:rsidR="00D06EA0" w:rsidRDefault="00D06EA0">
      <w:pP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15A11E0E" w14:textId="77777777" w:rsidR="00D06EA0" w:rsidRDefault="00000000">
      <w:pPr>
        <w:spacing w:line="240" w:lineRule="auto"/>
        <w:rPr>
          <w:rFonts w:ascii="Calibri" w:eastAsia="Calibri" w:hAnsi="Calibri" w:cs="Calibri"/>
          <w:b/>
          <w:color w:val="0000FF"/>
          <w:sz w:val="24"/>
          <w:szCs w:val="24"/>
        </w:rPr>
      </w:pPr>
      <w:r>
        <w:rPr>
          <w:rFonts w:ascii="Calibri" w:eastAsia="Calibri" w:hAnsi="Calibri" w:cs="Calibri"/>
          <w:b/>
          <w:color w:val="0000FF"/>
          <w:sz w:val="24"/>
          <w:szCs w:val="24"/>
        </w:rPr>
        <w:t>Tips for Completing the Matrix</w:t>
      </w:r>
    </w:p>
    <w:p w14:paraId="610AC990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Start by identifying the risk scenario (e.g., data breach, system outage).</w:t>
      </w:r>
    </w:p>
    <w:p w14:paraId="75E38847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Assign a likelihood score based on how often this type of risk occurs.</w:t>
      </w:r>
    </w:p>
    <w:p w14:paraId="34F00C5F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- Assign an impact score based on potential damage to operations, reputation, or finances.</w:t>
      </w:r>
    </w:p>
    <w:p w14:paraId="781766A9" w14:textId="77777777" w:rsidR="00D06EA0" w:rsidRDefault="00000000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- Use the matrix to </w:t>
      </w:r>
      <w:proofErr w:type="spellStart"/>
      <w:r>
        <w:rPr>
          <w:rFonts w:ascii="Calibri" w:eastAsia="Calibri" w:hAnsi="Calibri" w:cs="Calibri"/>
          <w:sz w:val="24"/>
          <w:szCs w:val="24"/>
        </w:rPr>
        <w:t>prioritise</w:t>
      </w:r>
      <w:proofErr w:type="spellEnd"/>
      <w:r>
        <w:rPr>
          <w:rFonts w:ascii="Calibri" w:eastAsia="Calibri" w:hAnsi="Calibri" w:cs="Calibri"/>
          <w:sz w:val="24"/>
          <w:szCs w:val="24"/>
        </w:rPr>
        <w:t>: risks in the top-right corner (high likelihood and impact) need urgent attention.</w:t>
      </w:r>
    </w:p>
    <w:p w14:paraId="34CA4C8B" w14:textId="77777777" w:rsidR="00D06EA0" w:rsidRDefault="00D06EA0"/>
    <w:sectPr w:rsidR="00D06E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1" w:fontKey="{4D369F5C-C825-441E-8FBE-8C5D9E11AFB9}"/>
    <w:embedBold r:id="rId2" w:fontKey="{00EB6533-6986-4898-9D00-99A63DC91A38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3" w:fontKey="{8A59AF26-60D2-41AE-B41A-B843202FC087}"/>
    <w:embedBold r:id="rId4" w:fontKey="{3D175462-287D-4EA2-AE67-263A86DB8AC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D7AE295E-C2F7-4BCF-AE82-89BBEF0E64CE}"/>
    <w:embedBold r:id="rId6" w:fontKey="{1BD5206F-803F-429D-AC0A-1497A9B1387F}"/>
  </w:font>
  <w:font w:name="Montserrat SemiBold">
    <w:charset w:val="00"/>
    <w:family w:val="auto"/>
    <w:pitch w:val="variable"/>
    <w:sig w:usb0="2000020F" w:usb1="00000003" w:usb2="00000000" w:usb3="00000000" w:csb0="00000197" w:csb1="00000000"/>
    <w:embedRegular r:id="rId7" w:fontKey="{6B16E01C-B6AE-4D42-BB28-4A9E1D2C1070}"/>
    <w:embedBold r:id="rId8" w:fontKey="{C27B9178-777C-4DFB-B47D-4FFB95140AE2}"/>
  </w:font>
  <w:font w:name="Noto Sans Symbols">
    <w:charset w:val="00"/>
    <w:family w:val="auto"/>
    <w:pitch w:val="default"/>
    <w:embedRegular r:id="rId9" w:fontKey="{3E3DC9E5-79B9-47E5-856A-CE672CC6AB75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0" w:fontKey="{40B98B57-43EE-43A0-8F53-7BCE3E170C9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2F8B7DD9-F1E8-46A7-AB0A-B4C301C3D4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2446A"/>
    <w:multiLevelType w:val="multilevel"/>
    <w:tmpl w:val="8FDC7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043481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EA0"/>
    <w:rsid w:val="00396BE9"/>
    <w:rsid w:val="003B26C4"/>
    <w:rsid w:val="00582A13"/>
    <w:rsid w:val="008003D6"/>
    <w:rsid w:val="008016D4"/>
    <w:rsid w:val="00A569B0"/>
    <w:rsid w:val="00C963DC"/>
    <w:rsid w:val="00D06EA0"/>
    <w:rsid w:val="00D348B0"/>
    <w:rsid w:val="00D92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EC567"/>
  <w15:docId w15:val="{83145A1B-1CE5-4705-8A42-E18B74F62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mr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1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4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  <w:style w:type="table" w:customStyle="1" w:styleId="a5">
    <w:basedOn w:val="TableNormal0"/>
    <w:pPr>
      <w:spacing w:before="96" w:after="96" w:line="240" w:lineRule="auto"/>
    </w:pPr>
    <w:rPr>
      <w:rFonts w:ascii="Montserrat" w:eastAsia="Montserrat" w:hAnsi="Montserrat" w:cs="Montserrat"/>
      <w:sz w:val="18"/>
      <w:szCs w:val="18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  <w:jc w:val="left"/>
      </w:pPr>
      <w:rPr>
        <w:rFonts w:ascii="Century Schoolbook" w:eastAsia="Century Schoolbook" w:hAnsi="Century Schoolbook" w:cs="Century Schoolbook"/>
        <w:b/>
        <w:color w:val="FFFFFF"/>
        <w:sz w:val="18"/>
        <w:szCs w:val="18"/>
      </w:rPr>
      <w:tblPr/>
      <w:tcPr>
        <w:shd w:val="clear" w:color="auto" w:fill="F5F5F5"/>
      </w:tcPr>
    </w:tblStylePr>
    <w:tblStylePr w:type="lastRow">
      <w:pPr>
        <w:spacing w:before="96" w:after="96"/>
      </w:pPr>
    </w:tblStylePr>
    <w:tblStylePr w:type="band1Horz">
      <w:pPr>
        <w:spacing w:before="96" w:after="96" w:line="240" w:lineRule="auto"/>
      </w:pPr>
    </w:tblStylePr>
    <w:tblStylePr w:type="band2Horz">
      <w:pPr>
        <w:spacing w:before="96" w:after="96" w:line="240" w:lineRule="auto"/>
      </w:pPr>
      <w:tblPr/>
      <w:tcPr>
        <w:shd w:val="clear" w:color="auto" w:fill="D9EDE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1037</Words>
  <Characters>5911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</dc:creator>
  <cp:lastModifiedBy>Pragati Thokale</cp:lastModifiedBy>
  <cp:revision>2</cp:revision>
  <dcterms:created xsi:type="dcterms:W3CDTF">2026-08-17T16:36:00Z</dcterms:created>
  <dcterms:modified xsi:type="dcterms:W3CDTF">2026-08-17T16:36:00Z</dcterms:modified>
</cp:coreProperties>
</file>