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RESEARCH SUPPLEMENT • VERSION 0.3</w:t>
      </w:r>
    </w:p>
    <w:p>
      <w:pPr>
        <w:pStyle w:val="Title"/>
      </w:pPr>
      <w:r>
        <w:t>Assess the outcome.</w:t>
        <w:br/>
        <w:t>Keep the uncertainty separate.</w:t>
      </w:r>
    </w:p>
    <w:p>
      <w:r>
        <w:t>A revised and expanded evidence package for the existing interactive scorecard. This release completes deadline and current judgments for the past-due reference cohort, without requiring an exact invention year or a perfect original-edition citation before assessing an otherwise clear outcome.</w:t>
      </w:r>
    </w:p>
    <w:tbl>
      <w:tblPr>
        <w:tblStyle w:val="LightShading-Accent1"/>
        <w:tblW w:type="auto" w:w="0"/>
        <w:tblLayout w:type="fixed"/>
        <w:tblLook w:firstColumn="1" w:firstRow="1" w:lastColumn="0" w:lastRow="0" w:noHBand="0" w:noVBand="1" w:val="04A0"/>
      </w:tblPr>
      <w:tblGrid>
        <w:gridCol w:w="7056"/>
        <w:gridCol w:w="2592"/>
      </w:tblGrid>
      <w:tr>
        <w:trPr>
          <w:tblHeader w:val="true"/>
          <w:cantSplit/>
        </w:trPr>
        <w:tc>
          <w:tcPr>
            <w:tcW w:type="dxa" w:w="7056"/>
            <w:shd w:fill="304D3C"/>
          </w:tcPr>
          <w:p>
            <w:pPr>
              <w:spacing w:after="80" w:before="40"/>
            </w:pPr>
            <w:r>
              <w:rPr>
                <w:b/>
                <w:color w:val="FFFFFF"/>
                <w:sz w:val="20"/>
              </w:rPr>
              <w:t>Coverage</w:t>
            </w:r>
          </w:p>
        </w:tc>
        <w:tc>
          <w:tcPr>
            <w:tcW w:type="dxa" w:w="2592"/>
            <w:shd w:fill="304D3C"/>
          </w:tcPr>
          <w:p>
            <w:pPr>
              <w:spacing w:after="80" w:before="40"/>
            </w:pPr>
            <w:r>
              <w:rPr>
                <w:b/>
                <w:color w:val="FFFFFF"/>
                <w:sz w:val="20"/>
              </w:rPr>
              <w:t>This release</w:t>
            </w:r>
          </w:p>
        </w:tc>
      </w:tr>
      <w:tr>
        <w:trPr>
          <w:cantSplit/>
        </w:trPr>
        <w:tc>
          <w:tcPr>
            <w:tcW w:type="dxa" w:w="7056"/>
          </w:tcPr>
          <w:p>
            <w:pPr>
              <w:spacing w:after="80" w:before="40"/>
            </w:pPr>
            <w:r>
              <w:rPr>
                <w:sz w:val="20"/>
              </w:rPr>
              <w:t>Curated forecast/version records</w:t>
            </w:r>
          </w:p>
        </w:tc>
        <w:tc>
          <w:tcPr>
            <w:tcW w:type="dxa" w:w="2592"/>
          </w:tcPr>
          <w:p>
            <w:pPr>
              <w:spacing w:after="80" w:before="40"/>
            </w:pPr>
            <w:r>
              <w:rPr>
                <w:sz w:val="20"/>
              </w:rPr>
              <w:t>84</w:t>
            </w:r>
          </w:p>
        </w:tc>
      </w:tr>
      <w:tr>
        <w:trPr>
          <w:cantSplit/>
        </w:trPr>
        <w:tc>
          <w:tcPr>
            <w:tcW w:type="dxa" w:w="7056"/>
          </w:tcPr>
          <w:p>
            <w:pPr>
              <w:spacing w:after="80" w:before="40"/>
            </w:pPr>
            <w:r>
              <w:rPr>
                <w:sz w:val="20"/>
              </w:rPr>
              <w:t>Newly added forecast records</w:t>
            </w:r>
          </w:p>
        </w:tc>
        <w:tc>
          <w:tcPr>
            <w:tcW w:type="dxa" w:w="2592"/>
          </w:tcPr>
          <w:p>
            <w:pPr>
              <w:spacing w:after="80" w:before="40"/>
            </w:pPr>
            <w:r>
              <w:rPr>
                <w:sz w:val="20"/>
              </w:rPr>
              <w:t>34</w:t>
            </w:r>
          </w:p>
        </w:tc>
      </w:tr>
      <w:tr>
        <w:trPr>
          <w:cantSplit/>
        </w:trPr>
        <w:tc>
          <w:tcPr>
            <w:tcW w:type="dxa" w:w="7056"/>
          </w:tcPr>
          <w:p>
            <w:pPr>
              <w:spacing w:after="80" w:before="40"/>
            </w:pPr>
            <w:r>
              <w:rPr>
                <w:sz w:val="20"/>
              </w:rPr>
              <w:t>Past-due reference assessments completed</w:t>
            </w:r>
          </w:p>
        </w:tc>
        <w:tc>
          <w:tcPr>
            <w:tcW w:type="dxa" w:w="2592"/>
          </w:tcPr>
          <w:p>
            <w:pPr>
              <w:spacing w:after="80" w:before="40"/>
            </w:pPr>
            <w:r>
              <w:rPr>
                <w:sz w:val="20"/>
              </w:rPr>
              <w:t>68</w:t>
            </w:r>
          </w:p>
        </w:tc>
      </w:tr>
      <w:tr>
        <w:trPr>
          <w:cantSplit/>
        </w:trPr>
        <w:tc>
          <w:tcPr>
            <w:tcW w:type="dxa" w:w="7056"/>
          </w:tcPr>
          <w:p>
            <w:pPr>
              <w:spacing w:after="80" w:before="40"/>
            </w:pPr>
            <w:r>
              <w:rPr>
                <w:sz w:val="20"/>
              </w:rPr>
              <w:t>Future-dated records</w:t>
            </w:r>
          </w:p>
        </w:tc>
        <w:tc>
          <w:tcPr>
            <w:tcW w:type="dxa" w:w="2592"/>
          </w:tcPr>
          <w:p>
            <w:pPr>
              <w:spacing w:after="80" w:before="40"/>
            </w:pPr>
            <w:r>
              <w:rPr>
                <w:sz w:val="20"/>
              </w:rPr>
              <w:t>14</w:t>
            </w:r>
          </w:p>
        </w:tc>
      </w:tr>
      <w:tr>
        <w:trPr>
          <w:cantSplit/>
        </w:trPr>
        <w:tc>
          <w:tcPr>
            <w:tcW w:type="dxa" w:w="7056"/>
          </w:tcPr>
          <w:p>
            <w:pPr>
              <w:spacing w:after="80" w:before="40"/>
            </w:pPr>
            <w:r>
              <w:rPr>
                <w:sz w:val="20"/>
              </w:rPr>
              <w:t>Undated records with current assessments</w:t>
            </w:r>
          </w:p>
        </w:tc>
        <w:tc>
          <w:tcPr>
            <w:tcW w:type="dxa" w:w="2592"/>
          </w:tcPr>
          <w:p>
            <w:pPr>
              <w:spacing w:after="80" w:before="40"/>
            </w:pPr>
            <w:r>
              <w:rPr>
                <w:sz w:val="20"/>
              </w:rPr>
              <w:t>2</w:t>
            </w:r>
          </w:p>
        </w:tc>
      </w:tr>
      <w:tr>
        <w:trPr>
          <w:cantSplit/>
        </w:trPr>
        <w:tc>
          <w:tcPr>
            <w:tcW w:type="dxa" w:w="7056"/>
          </w:tcPr>
          <w:p>
            <w:pPr>
              <w:spacing w:after="80" w:before="40"/>
            </w:pPr>
            <w:r>
              <w:rPr>
                <w:sz w:val="20"/>
              </w:rPr>
              <w:t>Original intake IDs reconciled</w:t>
            </w:r>
          </w:p>
        </w:tc>
        <w:tc>
          <w:tcPr>
            <w:tcW w:type="dxa" w:w="2592"/>
          </w:tcPr>
          <w:p>
            <w:pPr>
              <w:spacing w:after="80" w:before="40"/>
            </w:pPr>
            <w:r>
              <w:rPr>
                <w:sz w:val="20"/>
              </w:rPr>
              <w:t>88</w:t>
            </w:r>
          </w:p>
        </w:tc>
      </w:tr>
      <w:tr>
        <w:trPr>
          <w:cantSplit/>
        </w:trPr>
        <w:tc>
          <w:tcPr>
            <w:tcW w:type="dxa" w:w="7056"/>
          </w:tcPr>
          <w:p>
            <w:pPr>
              <w:spacing w:after="80" w:before="40"/>
            </w:pPr>
            <w:r>
              <w:rPr>
                <w:sz w:val="20"/>
              </w:rPr>
              <w:t>Source references used</w:t>
            </w:r>
          </w:p>
        </w:tc>
        <w:tc>
          <w:tcPr>
            <w:tcW w:type="dxa" w:w="2592"/>
          </w:tcPr>
          <w:p>
            <w:pPr>
              <w:spacing w:after="80" w:before="40"/>
            </w:pPr>
            <w:r>
              <w:rPr>
                <w:sz w:val="20"/>
              </w:rPr>
              <w:t>98</w:t>
            </w:r>
          </w:p>
        </w:tc>
      </w:tr>
    </w:tbl>
    <w:p>
      <w:pPr>
        <w:pStyle w:val="Heading2"/>
      </w:pPr>
      <w:r>
        <w:t>What the dataset currently says</w:t>
      </w:r>
    </w:p>
    <w:p>
      <w:r>
        <w:t>Among the 68 past-due reference forecasts, 25 were fully realized by their original deadline and 11 more were fully realized later. The other 32 are partial or not fulfilled. That is 36.8% on-time and 52.9% fully realized by review within this selected subset—not Kurzweil’s lifetime accuracy.</w:t>
      </w:r>
    </w:p>
    <w:p>
      <w:r>
        <w:t>The all-record verdict distribution is 26 CORRECT, 11 LATE, 17 PARTIAL, 16 WRONG and 14 PENDING. One correct and one partial record are undated, so they are not included in the 68-record deadline denominator.</w:t>
      </w:r>
    </w:p>
    <w:p>
      <w:r>
        <w:rPr>
          <w:b/>
        </w:rPr>
        <w:t>Main distinction:</w:t>
      </w:r>
      <w:r>
        <w:t xml:space="preserve"> “Outcome assessment completed” does not mean every source attribution is equally certain. Author adaptations, retrospective quotations, original wagers and unresolved imported paraphrases are visibly different evidence types.</w:t>
      </w:r>
    </w:p>
    <w:p>
      <w:r>
        <w:t>The full record-by-record reasoning is in verification-dossiers.v0.3.md. The JSON and CSV contain the same outcomes, criteria and evidence references. The original book editions and complete 147-item corpus have not been independently collated.</w:t>
      </w:r>
    </w:p>
    <w:p>
      <w:r>
        <w:br w:type="page"/>
      </w:r>
    </w:p>
    <w:p>
      <w:pPr>
        <w:pStyle w:val="Title"/>
      </w:pPr>
      <w:r>
        <w:t>1 / Rules used for this review</w:t>
      </w:r>
    </w:p>
    <w:p>
      <w:r>
        <w:rPr>
          <w:b/>
        </w:rPr>
        <w:t>Match the actual quantifier.</w:t>
      </w:r>
      <w:r>
        <w:t xml:space="preserve"> “Available” requires a real usable capability. “Common” means established use, not necessarily 50% penetration. “Most” requires a majority. “Ubiquitous” and “fully replaced” impose much stronger obligations. A list of examples can be illustrative, but an explicitly required mechanism is not silently discarded.</w:t>
      </w:r>
    </w:p>
    <w:p>
      <w:r>
        <w:rPr>
          <w:b/>
        </w:rPr>
        <w:t>Keep two outcome dates.</w:t>
      </w:r>
      <w:r>
        <w:t xml:space="preserve"> Every record has a result at its original deadline and a result by 15 October 2026. Partial at the deadline and full today yields LATE, not an on-time hit. A prediction can remain partial today even though its dated full claim missed.</w:t>
      </w:r>
    </w:p>
    <w:p>
      <w:r>
        <w:rPr>
          <w:b/>
        </w:rPr>
        <w:t>Use reasonable inference transparently.</w:t>
      </w:r>
      <w:r>
        <w:t xml:space="preserve"> When no universal census exists, the review uses an explicit population, documented examples and suitable proxies. Market availability can establish an existence claim. It cannot establish majority adoption. A proxy or qualitative judgment lowers confidence rather than automatically eliminating the outcome.</w:t>
      </w:r>
    </w:p>
    <w:p>
      <w:r>
        <w:rPr>
          <w:b/>
        </w:rPr>
        <w:t>Separate four uncertainties.</w:t>
      </w:r>
      <w:r>
        <w:t xml:space="preserve"> Attribution asks whether and how Kurzweil made the claim. Interpretation asks what counts as fulfillment. Outcome asks what happened. Timing asks when it first happened. An uncertainty in one field does not automatically erase a supported conclusion in another.</w:t>
      </w:r>
    </w:p>
    <w:p>
      <w:r>
        <w:rPr>
          <w:b/>
        </w:rPr>
        <w:t>Retain meaningful alternative readings.</w:t>
      </w:r>
      <w:r>
        <w:t xml:space="preserve"> Reference is the stated reasonable reading. Strict/alternative keeps a literal mechanism, broader list, narrower population or a different plausible deadline. Broader may credit a different implementation or lower adoption. Scope changes are written down, not hidden inside a “correct” badge.</w:t>
      </w:r>
    </w:p>
    <w:p>
      <w:r>
        <w:rPr>
          <w:b/>
        </w:rPr>
        <w:t>Do not invent an impossibly strong strict test.</w:t>
      </w:r>
      <w:r>
        <w:t xml:space="preserve"> For example, selected health diagnoses do not mean all diseases; lifetime records do not automatically require every historic scrap from every provider; understanding many biological mechanisms is not the same as completely understanding biology. Stronger comparisons are kept outside the scored forecast.</w:t>
      </w:r>
    </w:p>
    <w:p>
      <w:r>
        <w:rPr>
          <w:b/>
        </w:rPr>
        <w:t>Use bounds instead of fictitious precision.</w:t>
      </w:r>
      <w:r>
        <w:t xml:space="preserve"> An exact event, a documented-by date and an estimated era are different. All can inform the reader. Only the exact event supports an exact drift unless a bounded interval is explicitly stored. “Still overdue” is not a completed delay.</w:t>
      </w:r>
    </w:p>
    <w:p>
      <w:r>
        <w:rPr>
          <w:b/>
        </w:rPr>
        <w:t>Keep attribution problems separate from missing outcomes.</w:t>
      </w:r>
      <w:r>
        <w:t xml:space="preserve"> Forty-six altered or unresolved original imports receive conditional judgments. These explain what happened under the imported wording while excluding unestablished attributions from author-accuracy calculations. Compound imports retain component outcomes.</w:t>
      </w:r>
    </w:p>
    <w:p>
      <w:r>
        <w:br w:type="page"/>
      </w:r>
    </w:p>
    <w:p>
      <w:pPr>
        <w:pStyle w:val="Title"/>
      </w:pPr>
      <w:r>
        <w:t>2 / Examples of changed judgments</w:t>
      </w:r>
    </w:p>
    <w:tbl>
      <w:tblPr>
        <w:tblStyle w:val="LightShading-Accent1"/>
        <w:tblW w:type="auto" w:w="0"/>
        <w:tblLayout w:type="fixed"/>
        <w:tblLook w:firstColumn="1" w:firstRow="1" w:lastColumn="0" w:lastRow="0" w:noHBand="0" w:noVBand="1" w:val="04A0"/>
      </w:tblPr>
      <w:tblGrid>
        <w:gridCol w:w="2016"/>
        <w:gridCol w:w="936"/>
        <w:gridCol w:w="936"/>
        <w:gridCol w:w="5904"/>
      </w:tblGrid>
      <w:tr>
        <w:trPr>
          <w:tblHeader w:val="true"/>
          <w:cantSplit/>
        </w:trPr>
        <w:tc>
          <w:tcPr>
            <w:tcW w:type="dxa" w:w="2016"/>
            <w:shd w:fill="304D3C"/>
          </w:tcPr>
          <w:p>
            <w:pPr>
              <w:spacing w:after="80" w:before="40"/>
            </w:pPr>
            <w:r>
              <w:rPr>
                <w:b/>
                <w:color w:val="FFFFFF"/>
                <w:sz w:val="18"/>
              </w:rPr>
              <w:t>ID / forecast</w:t>
            </w:r>
          </w:p>
        </w:tc>
        <w:tc>
          <w:tcPr>
            <w:tcW w:type="dxa" w:w="936"/>
            <w:shd w:fill="304D3C"/>
          </w:tcPr>
          <w:p>
            <w:pPr>
              <w:spacing w:after="80" w:before="40"/>
            </w:pPr>
            <w:r>
              <w:rPr>
                <w:b/>
                <w:color w:val="FFFFFF"/>
                <w:sz w:val="18"/>
              </w:rPr>
              <w:t>Deadline</w:t>
            </w:r>
          </w:p>
        </w:tc>
        <w:tc>
          <w:tcPr>
            <w:tcW w:type="dxa" w:w="936"/>
            <w:shd w:fill="304D3C"/>
          </w:tcPr>
          <w:p>
            <w:pPr>
              <w:spacing w:after="80" w:before="40"/>
            </w:pPr>
            <w:r>
              <w:rPr>
                <w:b/>
                <w:color w:val="FFFFFF"/>
                <w:sz w:val="18"/>
              </w:rPr>
              <w:t>By review</w:t>
            </w:r>
          </w:p>
        </w:tc>
        <w:tc>
          <w:tcPr>
            <w:tcW w:type="dxa" w:w="5904"/>
            <w:shd w:fill="304D3C"/>
          </w:tcPr>
          <w:p>
            <w:pPr>
              <w:spacing w:after="80" w:before="40"/>
            </w:pPr>
            <w:r>
              <w:rPr>
                <w:b/>
                <w:color w:val="FFFFFF"/>
                <w:sz w:val="18"/>
              </w:rPr>
              <w:t>Judgment</w:t>
            </w:r>
          </w:p>
        </w:tc>
      </w:tr>
      <w:tr>
        <w:trPr>
          <w:cantSplit/>
        </w:trPr>
        <w:tc>
          <w:tcPr>
            <w:tcW w:type="dxa" w:w="2016"/>
          </w:tcPr>
          <w:p>
            <w:pPr>
              <w:spacing w:after="80" w:before="40"/>
            </w:pPr>
            <w:r>
              <w:rPr>
                <w:sz w:val="18"/>
              </w:rPr>
              <w:t>K001</w:t>
              <w:br/>
              <w:t>Chess champion</w:t>
            </w:r>
          </w:p>
        </w:tc>
        <w:tc>
          <w:tcPr>
            <w:tcW w:type="dxa" w:w="936"/>
          </w:tcPr>
          <w:p>
            <w:pPr>
              <w:spacing w:after="80" w:before="40"/>
            </w:pPr>
            <w:r>
              <w:rPr>
                <w:sz w:val="18"/>
              </w:rPr>
              <w:t>Full</w:t>
            </w:r>
          </w:p>
        </w:tc>
        <w:tc>
          <w:tcPr>
            <w:tcW w:type="dxa" w:w="936"/>
          </w:tcPr>
          <w:p>
            <w:pPr>
              <w:spacing w:after="80" w:before="40"/>
            </w:pPr>
            <w:r>
              <w:rPr>
                <w:sz w:val="18"/>
              </w:rPr>
              <w:t>Full</w:t>
            </w:r>
          </w:p>
        </w:tc>
        <w:tc>
          <w:tcPr>
            <w:tcW w:type="dxa" w:w="5904"/>
          </w:tcPr>
          <w:p>
            <w:pPr>
              <w:spacing w:after="80" w:before="40"/>
            </w:pPr>
            <w:r>
              <w:rPr>
                <w:sz w:val="18"/>
              </w:rPr>
              <w:t>CORRECT. IBM dates the match win to 1997. A 1998 versus 2000 source discrepancy changes only the early margin. [O01]</w:t>
            </w:r>
          </w:p>
        </w:tc>
      </w:tr>
      <w:tr>
        <w:trPr>
          <w:cantSplit/>
        </w:trPr>
        <w:tc>
          <w:tcPr>
            <w:tcW w:type="dxa" w:w="2016"/>
          </w:tcPr>
          <w:p>
            <w:pPr>
              <w:spacing w:after="80" w:before="40"/>
            </w:pPr>
            <w:r>
              <w:rPr>
                <w:sz w:val="18"/>
              </w:rPr>
              <w:t>K003</w:t>
              <w:br/>
              <w:t>Wearable computers</w:t>
            </w:r>
          </w:p>
        </w:tc>
        <w:tc>
          <w:tcPr>
            <w:tcW w:type="dxa" w:w="936"/>
          </w:tcPr>
          <w:p>
            <w:pPr>
              <w:spacing w:after="80" w:before="40"/>
            </w:pPr>
            <w:r>
              <w:rPr>
                <w:sz w:val="18"/>
              </w:rPr>
              <w:t>Partial</w:t>
            </w:r>
          </w:p>
        </w:tc>
        <w:tc>
          <w:tcPr>
            <w:tcW w:type="dxa" w:w="936"/>
          </w:tcPr>
          <w:p>
            <w:pPr>
              <w:spacing w:after="80" w:before="40"/>
            </w:pPr>
            <w:r>
              <w:rPr>
                <w:sz w:val="18"/>
              </w:rPr>
              <w:t>Full</w:t>
            </w:r>
          </w:p>
        </w:tc>
        <w:tc>
          <w:tcPr>
            <w:tcW w:type="dxa" w:w="5904"/>
          </w:tcPr>
          <w:p>
            <w:pPr>
              <w:spacing w:after="80" w:before="40"/>
            </w:pPr>
            <w:r>
              <w:rPr>
                <w:sz w:val="18"/>
              </w:rPr>
              <w:t>LATE under an illustrative wearable-form reading. A 2019 US survey found 21% regular wearable use—common, not universal. Clothing-wide use stays partial. [N01]</w:t>
            </w:r>
          </w:p>
        </w:tc>
      </w:tr>
      <w:tr>
        <w:trPr>
          <w:cantSplit/>
        </w:trPr>
        <w:tc>
          <w:tcPr>
            <w:tcW w:type="dxa" w:w="2016"/>
          </w:tcPr>
          <w:p>
            <w:pPr>
              <w:spacing w:after="80" w:before="40"/>
            </w:pPr>
            <w:r>
              <w:rPr>
                <w:sz w:val="18"/>
              </w:rPr>
              <w:t>K041</w:t>
              <w:br/>
              <w:t>Wearable health monitoring</w:t>
            </w:r>
          </w:p>
        </w:tc>
        <w:tc>
          <w:tcPr>
            <w:tcW w:type="dxa" w:w="936"/>
          </w:tcPr>
          <w:p>
            <w:pPr>
              <w:spacing w:after="80" w:before="40"/>
            </w:pPr>
            <w:r>
              <w:rPr>
                <w:sz w:val="18"/>
              </w:rPr>
              <w:t>Full</w:t>
            </w:r>
          </w:p>
        </w:tc>
        <w:tc>
          <w:tcPr>
            <w:tcW w:type="dxa" w:w="936"/>
          </w:tcPr>
          <w:p>
            <w:pPr>
              <w:spacing w:after="80" w:before="40"/>
            </w:pPr>
            <w:r>
              <w:rPr>
                <w:sz w:val="18"/>
              </w:rPr>
              <w:t>Full</w:t>
            </w:r>
          </w:p>
        </w:tc>
        <w:tc>
          <w:tcPr>
            <w:tcW w:type="dxa" w:w="5904"/>
          </w:tcPr>
          <w:p>
            <w:pPr>
              <w:spacing w:after="80" w:before="40"/>
            </w:pPr>
            <w:r>
              <w:rPr>
                <w:sz w:val="18"/>
              </w:rPr>
              <w:t>CORRECT for selected diagnoses, warnings and interventions. ECG/AFib and fall/emergency features count; diagnosing every condition is not required. [N25, O22]</w:t>
            </w:r>
          </w:p>
        </w:tc>
      </w:tr>
      <w:tr>
        <w:trPr>
          <w:cantSplit/>
        </w:trPr>
        <w:tc>
          <w:tcPr>
            <w:tcW w:type="dxa" w:w="2016"/>
          </w:tcPr>
          <w:p>
            <w:pPr>
              <w:spacing w:after="80" w:before="40"/>
            </w:pPr>
            <w:r>
              <w:rPr>
                <w:sz w:val="18"/>
              </w:rPr>
              <w:t>K048</w:t>
              <w:br/>
              <w:t>Speech translation</w:t>
            </w:r>
          </w:p>
        </w:tc>
        <w:tc>
          <w:tcPr>
            <w:tcW w:type="dxa" w:w="936"/>
          </w:tcPr>
          <w:p>
            <w:pPr>
              <w:spacing w:after="80" w:before="40"/>
            </w:pPr>
            <w:r>
              <w:rPr>
                <w:sz w:val="18"/>
              </w:rPr>
              <w:t>Partial</w:t>
            </w:r>
          </w:p>
        </w:tc>
        <w:tc>
          <w:tcPr>
            <w:tcW w:type="dxa" w:w="936"/>
          </w:tcPr>
          <w:p>
            <w:pPr>
              <w:spacing w:after="80" w:before="40"/>
            </w:pPr>
            <w:r>
              <w:rPr>
                <w:sz w:val="18"/>
              </w:rPr>
              <w:t>Full</w:t>
            </w:r>
          </w:p>
        </w:tc>
        <w:tc>
          <w:tcPr>
            <w:tcW w:type="dxa" w:w="5904"/>
          </w:tcPr>
          <w:p>
            <w:pPr>
              <w:spacing w:after="80" w:before="40"/>
            </w:pPr>
            <w:r>
              <w:rPr>
                <w:sz w:val="18"/>
              </w:rPr>
              <w:t>LATE. Practical many-language conversation translation is established; in-call spoken translation is now documented too. Do not demand every language or perfect output. [N20, N71, N72]</w:t>
            </w:r>
          </w:p>
        </w:tc>
      </w:tr>
      <w:tr>
        <w:trPr>
          <w:cantSplit/>
        </w:trPr>
        <w:tc>
          <w:tcPr>
            <w:tcW w:type="dxa" w:w="2016"/>
          </w:tcPr>
          <w:p>
            <w:pPr>
              <w:spacing w:after="80" w:before="40"/>
            </w:pPr>
            <w:r>
              <w:rPr>
                <w:sz w:val="18"/>
              </w:rPr>
              <w:t>K052</w:t>
              <w:br/>
              <w:t>Teraflop PC</w:t>
            </w:r>
          </w:p>
        </w:tc>
        <w:tc>
          <w:tcPr>
            <w:tcW w:type="dxa" w:w="936"/>
          </w:tcPr>
          <w:p>
            <w:pPr>
              <w:spacing w:after="80" w:before="40"/>
            </w:pPr>
            <w:r>
              <w:rPr>
                <w:sz w:val="18"/>
              </w:rPr>
              <w:t>Full</w:t>
            </w:r>
          </w:p>
        </w:tc>
        <w:tc>
          <w:tcPr>
            <w:tcW w:type="dxa" w:w="936"/>
          </w:tcPr>
          <w:p>
            <w:pPr>
              <w:spacing w:after="80" w:before="40"/>
            </w:pPr>
            <w:r>
              <w:rPr>
                <w:sz w:val="18"/>
              </w:rPr>
              <w:t>Full</w:t>
            </w:r>
          </w:p>
        </w:tc>
        <w:tc>
          <w:tcPr>
            <w:tcW w:type="dxa" w:w="5904"/>
          </w:tcPr>
          <w:p>
            <w:pPr>
              <w:spacing w:after="80" w:before="40"/>
            </w:pPr>
            <w:r>
              <w:rPr>
                <w:sz w:val="18"/>
              </w:rPr>
              <w:t>CORRECT on explicit peak-GPU arithmetic reading. A sub-$300 teraflop GPU fits the budget direction; sustained benchmark interpretation is separate. [N54]</w:t>
            </w:r>
          </w:p>
        </w:tc>
      </w:tr>
      <w:tr>
        <w:trPr>
          <w:cantSplit/>
        </w:trPr>
        <w:tc>
          <w:tcPr>
            <w:tcW w:type="dxa" w:w="2016"/>
          </w:tcPr>
          <w:p>
            <w:pPr>
              <w:spacing w:after="80" w:before="40"/>
            </w:pPr>
            <w:r>
              <w:rPr>
                <w:sz w:val="18"/>
              </w:rPr>
              <w:t>K064</w:t>
              <w:br/>
              <w:t>Digital patient histories</w:t>
            </w:r>
          </w:p>
        </w:tc>
        <w:tc>
          <w:tcPr>
            <w:tcW w:type="dxa" w:w="936"/>
          </w:tcPr>
          <w:p>
            <w:pPr>
              <w:spacing w:after="80" w:before="40"/>
            </w:pPr>
            <w:r>
              <w:rPr>
                <w:sz w:val="18"/>
              </w:rPr>
              <w:t>Partial</w:t>
            </w:r>
          </w:p>
        </w:tc>
        <w:tc>
          <w:tcPr>
            <w:tcW w:type="dxa" w:w="936"/>
          </w:tcPr>
          <w:p>
            <w:pPr>
              <w:spacing w:after="80" w:before="40"/>
            </w:pPr>
            <w:r>
              <w:rPr>
                <w:sz w:val="18"/>
              </w:rPr>
              <w:t>Full</w:t>
            </w:r>
          </w:p>
        </w:tc>
        <w:tc>
          <w:tcPr>
            <w:tcW w:type="dxa" w:w="5904"/>
          </w:tcPr>
          <w:p>
            <w:pPr>
              <w:spacing w:after="80" w:before="40"/>
            </w:pPr>
            <w:r>
              <w:rPr>
                <w:sz w:val="18"/>
              </w:rPr>
              <w:t>LATE for routinely accumulated electronic histories. ONC adoption supports the shift, not universal interoperable cradle-to-grave completeness. [N17]</w:t>
            </w:r>
          </w:p>
        </w:tc>
      </w:tr>
      <w:tr>
        <w:trPr>
          <w:cantSplit/>
        </w:trPr>
        <w:tc>
          <w:tcPr>
            <w:tcW w:type="dxa" w:w="2016"/>
          </w:tcPr>
          <w:p>
            <w:pPr>
              <w:spacing w:after="80" w:before="40"/>
            </w:pPr>
            <w:r>
              <w:rPr>
                <w:sz w:val="18"/>
              </w:rPr>
              <w:t>K027</w:t>
              <w:br/>
              <w:t>Lifespan above 100</w:t>
            </w:r>
          </w:p>
        </w:tc>
        <w:tc>
          <w:tcPr>
            <w:tcW w:type="dxa" w:w="936"/>
          </w:tcPr>
          <w:p>
            <w:pPr>
              <w:spacing w:after="80" w:before="40"/>
            </w:pPr>
            <w:r>
              <w:rPr>
                <w:sz w:val="18"/>
              </w:rPr>
              <w:t>No</w:t>
            </w:r>
          </w:p>
        </w:tc>
        <w:tc>
          <w:tcPr>
            <w:tcW w:type="dxa" w:w="936"/>
          </w:tcPr>
          <w:p>
            <w:pPr>
              <w:spacing w:after="80" w:before="40"/>
            </w:pPr>
            <w:r>
              <w:rPr>
                <w:sz w:val="18"/>
              </w:rPr>
              <w:t>No</w:t>
            </w:r>
          </w:p>
        </w:tc>
        <w:tc>
          <w:tcPr>
            <w:tcW w:type="dxa" w:w="5904"/>
          </w:tcPr>
          <w:p>
            <w:pPr>
              <w:spacing w:after="80" w:before="40"/>
            </w:pPr>
            <w:r>
              <w:rPr>
                <w:sz w:val="18"/>
              </w:rPr>
              <w:t>WRONG on ordinary population life expectancy. Do not substitute one unusually old person for the forecasted population change. [O16, O17]</w:t>
            </w:r>
          </w:p>
        </w:tc>
      </w:tr>
      <w:tr>
        <w:trPr>
          <w:cantSplit/>
        </w:trPr>
        <w:tc>
          <w:tcPr>
            <w:tcW w:type="dxa" w:w="2016"/>
          </w:tcPr>
          <w:p>
            <w:pPr>
              <w:spacing w:after="80" w:before="40"/>
            </w:pPr>
            <w:r>
              <w:rPr>
                <w:sz w:val="18"/>
              </w:rPr>
              <w:t>K083</w:t>
              <w:br/>
              <w:t>Aging/cancer mechanisms</w:t>
            </w:r>
          </w:p>
        </w:tc>
        <w:tc>
          <w:tcPr>
            <w:tcW w:type="dxa" w:w="936"/>
          </w:tcPr>
          <w:p>
            <w:pPr>
              <w:spacing w:after="80" w:before="40"/>
            </w:pPr>
            <w:r>
              <w:rPr>
                <w:sz w:val="18"/>
              </w:rPr>
              <w:t>Full</w:t>
            </w:r>
          </w:p>
        </w:tc>
        <w:tc>
          <w:tcPr>
            <w:tcW w:type="dxa" w:w="936"/>
          </w:tcPr>
          <w:p>
            <w:pPr>
              <w:spacing w:after="80" w:before="40"/>
            </w:pPr>
            <w:r>
              <w:rPr>
                <w:sz w:val="18"/>
              </w:rPr>
              <w:t>Full</w:t>
            </w:r>
          </w:p>
        </w:tc>
        <w:tc>
          <w:tcPr>
            <w:tcW w:type="dxa" w:w="5904"/>
          </w:tcPr>
          <w:p>
            <w:pPr>
              <w:spacing w:after="80" w:before="40"/>
            </w:pPr>
            <w:r>
              <w:rPr>
                <w:sz w:val="18"/>
              </w:rPr>
              <w:t>CORRECT for understanding many important processes. Hallmarks and Pan-Cancer research count without claiming complete causal prediction or cures. [N38–N40]</w:t>
            </w:r>
          </w:p>
        </w:tc>
      </w:tr>
    </w:tbl>
    <w:p>
      <w:r>
        <w:t>These are editorial judgments under the displayed criteria. The source catalogue and full dossiers preserve the underlying passages, source limitations and alternative readings. A change from v0.2 can reflect removal of an unjustified scoring barrier, new evidence, or correction of an overstrong imported claim.</w:t>
      </w:r>
    </w:p>
    <w:p>
      <w:r>
        <w:br w:type="page"/>
      </w:r>
    </w:p>
    <w:p>
      <w:pPr>
        <w:pStyle w:val="Title"/>
      </w:pPr>
      <w:r>
        <w:t>3 / New records — 2009 targets</w:t>
      </w:r>
    </w:p>
    <w:p>
      <w:r>
        <w:t>Each row is a newly added forecast/version, not another repetition of an existing source citation. “By review” uses the reference reading. Detailed criteria and alternatives are in the accompanying dossiers.</w:t>
      </w:r>
    </w:p>
    <w:tbl>
      <w:tblPr>
        <w:tblStyle w:val="LightShading-Accent1"/>
        <w:tblW w:type="auto" w:w="0"/>
        <w:tblLayout w:type="fixed"/>
        <w:tblLook w:firstColumn="1" w:firstRow="1" w:lastColumn="0" w:lastRow="0" w:noHBand="0" w:noVBand="1" w:val="04A0"/>
      </w:tblPr>
      <w:tblGrid>
        <w:gridCol w:w="691"/>
        <w:gridCol w:w="4651"/>
        <w:gridCol w:w="619"/>
        <w:gridCol w:w="893"/>
        <w:gridCol w:w="893"/>
        <w:gridCol w:w="1469"/>
      </w:tblGrid>
      <w:tr>
        <w:trPr>
          <w:tblHeader w:val="true"/>
          <w:cantSplit/>
        </w:trPr>
        <w:tc>
          <w:tcPr>
            <w:tcW w:type="dxa" w:w="691"/>
            <w:shd w:fill="304D3C"/>
          </w:tcPr>
          <w:p>
            <w:pPr>
              <w:spacing w:after="40" w:before="20"/>
            </w:pPr>
            <w:r>
              <w:rPr>
                <w:b/>
                <w:color w:val="FFFFFF"/>
                <w:sz w:val="17"/>
              </w:rPr>
              <w:t>ID</w:t>
            </w:r>
          </w:p>
        </w:tc>
        <w:tc>
          <w:tcPr>
            <w:tcW w:type="dxa" w:w="4651"/>
            <w:shd w:fill="304D3C"/>
          </w:tcPr>
          <w:p>
            <w:pPr>
              <w:spacing w:after="40" w:before="20"/>
            </w:pPr>
            <w:r>
              <w:rPr>
                <w:b/>
                <w:color w:val="FFFFFF"/>
                <w:sz w:val="17"/>
              </w:rPr>
              <w:t>Prediction</w:t>
            </w:r>
          </w:p>
        </w:tc>
        <w:tc>
          <w:tcPr>
            <w:tcW w:type="dxa" w:w="619"/>
            <w:shd w:fill="304D3C"/>
          </w:tcPr>
          <w:p>
            <w:pPr>
              <w:spacing w:after="40" w:before="20"/>
            </w:pPr>
            <w:r>
              <w:rPr>
                <w:b/>
                <w:color w:val="FFFFFF"/>
                <w:sz w:val="17"/>
              </w:rPr>
              <w:t>Due</w:t>
            </w:r>
          </w:p>
        </w:tc>
        <w:tc>
          <w:tcPr>
            <w:tcW w:type="dxa" w:w="893"/>
            <w:shd w:fill="304D3C"/>
          </w:tcPr>
          <w:p>
            <w:pPr>
              <w:spacing w:after="40" w:before="20"/>
            </w:pPr>
            <w:r>
              <w:rPr>
                <w:b/>
                <w:color w:val="FFFFFF"/>
                <w:sz w:val="17"/>
              </w:rPr>
              <w:t>Then</w:t>
            </w:r>
          </w:p>
        </w:tc>
        <w:tc>
          <w:tcPr>
            <w:tcW w:type="dxa" w:w="893"/>
            <w:shd w:fill="304D3C"/>
          </w:tcPr>
          <w:p>
            <w:pPr>
              <w:spacing w:after="40" w:before="20"/>
            </w:pPr>
            <w:r>
              <w:rPr>
                <w:b/>
                <w:color w:val="FFFFFF"/>
                <w:sz w:val="17"/>
              </w:rPr>
              <w:t>Now</w:t>
            </w:r>
          </w:p>
        </w:tc>
        <w:tc>
          <w:tcPr>
            <w:tcW w:type="dxa" w:w="1469"/>
            <w:shd w:fill="304D3C"/>
          </w:tcPr>
          <w:p>
            <w:pPr>
              <w:spacing w:after="40" w:before="20"/>
            </w:pPr>
            <w:r>
              <w:rPr>
                <w:b/>
                <w:color w:val="FFFFFF"/>
                <w:sz w:val="17"/>
              </w:rPr>
              <w:t>Verdict</w:t>
            </w:r>
          </w:p>
        </w:tc>
      </w:tr>
      <w:tr>
        <w:trPr>
          <w:cantSplit/>
        </w:trPr>
        <w:tc>
          <w:tcPr>
            <w:tcW w:type="dxa" w:w="691"/>
          </w:tcPr>
          <w:p>
            <w:pPr>
              <w:spacing w:after="40" w:before="20"/>
            </w:pPr>
            <w:r>
              <w:rPr>
                <w:sz w:val="17"/>
              </w:rPr>
              <w:t>K051</w:t>
            </w:r>
          </w:p>
        </w:tc>
        <w:tc>
          <w:tcPr>
            <w:tcW w:type="dxa" w:w="4651"/>
          </w:tcPr>
          <w:p>
            <w:pPr>
              <w:spacing w:after="40" w:before="20"/>
            </w:pPr>
            <w:r>
              <w:rPr>
                <w:sz w:val="17"/>
              </w:rPr>
              <w:t>3D integrated circuits become common</w:t>
            </w:r>
          </w:p>
        </w:tc>
        <w:tc>
          <w:tcPr>
            <w:tcW w:type="dxa" w:w="619"/>
          </w:tcPr>
          <w:p>
            <w:pPr>
              <w:spacing w:after="40" w:before="20"/>
            </w:pPr>
            <w:r>
              <w:rPr>
                <w:sz w:val="17"/>
              </w:rPr>
              <w:t>2009</w:t>
            </w:r>
          </w:p>
        </w:tc>
        <w:tc>
          <w:tcPr>
            <w:tcW w:type="dxa" w:w="893"/>
          </w:tcPr>
          <w:p>
            <w:pPr>
              <w:spacing w:after="40" w:before="20"/>
            </w:pPr>
            <w:r>
              <w:rPr>
                <w:sz w:val="17"/>
              </w:rPr>
              <w:t>Partial</w:t>
            </w:r>
          </w:p>
        </w:tc>
        <w:tc>
          <w:tcPr>
            <w:tcW w:type="dxa" w:w="893"/>
          </w:tcPr>
          <w:p>
            <w:pPr>
              <w:spacing w:after="40" w:before="20"/>
            </w:pPr>
            <w:r>
              <w:rPr>
                <w:sz w:val="17"/>
              </w:rPr>
              <w:t>Full</w:t>
            </w:r>
          </w:p>
        </w:tc>
        <w:tc>
          <w:tcPr>
            <w:tcW w:type="dxa" w:w="1469"/>
          </w:tcPr>
          <w:p>
            <w:pPr>
              <w:spacing w:after="40" w:before="20"/>
            </w:pPr>
            <w:r>
              <w:rPr>
                <w:sz w:val="17"/>
              </w:rPr>
              <w:t>LATE</w:t>
            </w:r>
          </w:p>
        </w:tc>
      </w:tr>
      <w:tr>
        <w:trPr>
          <w:cantSplit/>
        </w:trPr>
        <w:tc>
          <w:tcPr>
            <w:tcW w:type="dxa" w:w="691"/>
          </w:tcPr>
          <w:p>
            <w:pPr>
              <w:spacing w:after="40" w:before="20"/>
            </w:pPr>
            <w:r>
              <w:rPr>
                <w:sz w:val="17"/>
              </w:rPr>
              <w:t>K052</w:t>
            </w:r>
          </w:p>
        </w:tc>
        <w:tc>
          <w:tcPr>
            <w:tcW w:type="dxa" w:w="4651"/>
          </w:tcPr>
          <w:p>
            <w:pPr>
              <w:spacing w:after="40" w:before="20"/>
            </w:pPr>
            <w:r>
              <w:rPr>
                <w:sz w:val="17"/>
              </w:rPr>
              <w:t>$1,000 PCs reach one teraflop</w:t>
            </w:r>
          </w:p>
        </w:tc>
        <w:tc>
          <w:tcPr>
            <w:tcW w:type="dxa" w:w="619"/>
          </w:tcPr>
          <w:p>
            <w:pPr>
              <w:spacing w:after="40" w:before="20"/>
            </w:pPr>
            <w:r>
              <w:rPr>
                <w:sz w:val="17"/>
              </w:rPr>
              <w:t>2009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K053</w:t>
            </w:r>
          </w:p>
        </w:tc>
        <w:tc>
          <w:tcPr>
            <w:tcW w:type="dxa" w:w="4651"/>
          </w:tcPr>
          <w:p>
            <w:pPr>
              <w:spacing w:after="40" w:before="20"/>
            </w:pPr>
            <w:r>
              <w:rPr>
                <w:sz w:val="17"/>
              </w:rPr>
              <w:t>Idle Internet PCs form virtual supercomputers</w:t>
            </w:r>
          </w:p>
        </w:tc>
        <w:tc>
          <w:tcPr>
            <w:tcW w:type="dxa" w:w="619"/>
          </w:tcPr>
          <w:p>
            <w:pPr>
              <w:spacing w:after="40" w:before="20"/>
            </w:pPr>
            <w:r>
              <w:rPr>
                <w:sz w:val="17"/>
              </w:rPr>
              <w:t>2009</w:t>
            </w:r>
          </w:p>
        </w:tc>
        <w:tc>
          <w:tcPr>
            <w:tcW w:type="dxa" w:w="893"/>
          </w:tcPr>
          <w:p>
            <w:pPr>
              <w:spacing w:after="40" w:before="20"/>
            </w:pPr>
            <w:r>
              <w:rPr>
                <w:sz w:val="17"/>
              </w:rPr>
              <w:t>Partial</w:t>
            </w:r>
          </w:p>
        </w:tc>
        <w:tc>
          <w:tcPr>
            <w:tcW w:type="dxa" w:w="893"/>
          </w:tcPr>
          <w:p>
            <w:pPr>
              <w:spacing w:after="40" w:before="20"/>
            </w:pPr>
            <w:r>
              <w:rPr>
                <w:sz w:val="17"/>
              </w:rPr>
              <w:t>Full</w:t>
            </w:r>
          </w:p>
        </w:tc>
        <w:tc>
          <w:tcPr>
            <w:tcW w:type="dxa" w:w="1469"/>
          </w:tcPr>
          <w:p>
            <w:pPr>
              <w:spacing w:after="40" w:before="20"/>
            </w:pPr>
            <w:r>
              <w:rPr>
                <w:sz w:val="17"/>
              </w:rPr>
              <w:t>LATE</w:t>
            </w:r>
          </w:p>
        </w:tc>
      </w:tr>
      <w:tr>
        <w:trPr>
          <w:cantSplit/>
        </w:trPr>
        <w:tc>
          <w:tcPr>
            <w:tcW w:type="dxa" w:w="691"/>
          </w:tcPr>
          <w:p>
            <w:pPr>
              <w:spacing w:after="40" w:before="20"/>
            </w:pPr>
            <w:r>
              <w:rPr>
                <w:sz w:val="17"/>
              </w:rPr>
              <w:t>K054</w:t>
            </w:r>
          </w:p>
        </w:tc>
        <w:tc>
          <w:tcPr>
            <w:tcW w:type="dxa" w:w="4651"/>
          </w:tcPr>
          <w:p>
            <w:pPr>
              <w:spacing w:after="40" w:before="20"/>
            </w:pPr>
            <w:r>
              <w:rPr>
                <w:sz w:val="17"/>
              </w:rPr>
              <w:t>Interest in neural methods grows</w:t>
            </w:r>
          </w:p>
        </w:tc>
        <w:tc>
          <w:tcPr>
            <w:tcW w:type="dxa" w:w="619"/>
          </w:tcPr>
          <w:p>
            <w:pPr>
              <w:spacing w:after="40" w:before="20"/>
            </w:pPr>
            <w:r>
              <w:rPr>
                <w:sz w:val="17"/>
              </w:rPr>
              <w:t>2009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K055</w:t>
            </w:r>
          </w:p>
        </w:tc>
        <w:tc>
          <w:tcPr>
            <w:tcW w:type="dxa" w:w="4651"/>
          </w:tcPr>
          <w:p>
            <w:pPr>
              <w:spacing w:after="40" w:before="20"/>
            </w:pPr>
            <w:r>
              <w:rPr>
                <w:sz w:val="17"/>
              </w:rPr>
              <w:t>Computer cameras recognize their owners</w:t>
            </w:r>
          </w:p>
        </w:tc>
        <w:tc>
          <w:tcPr>
            <w:tcW w:type="dxa" w:w="619"/>
          </w:tcPr>
          <w:p>
            <w:pPr>
              <w:spacing w:after="40" w:before="20"/>
            </w:pPr>
            <w:r>
              <w:rPr>
                <w:sz w:val="17"/>
              </w:rPr>
              <w:t>2009</w:t>
            </w:r>
          </w:p>
        </w:tc>
        <w:tc>
          <w:tcPr>
            <w:tcW w:type="dxa" w:w="893"/>
          </w:tcPr>
          <w:p>
            <w:pPr>
              <w:spacing w:after="40" w:before="20"/>
            </w:pPr>
            <w:r>
              <w:rPr>
                <w:sz w:val="17"/>
              </w:rPr>
              <w:t>Partial</w:t>
            </w:r>
          </w:p>
        </w:tc>
        <w:tc>
          <w:tcPr>
            <w:tcW w:type="dxa" w:w="893"/>
          </w:tcPr>
          <w:p>
            <w:pPr>
              <w:spacing w:after="40" w:before="20"/>
            </w:pPr>
            <w:r>
              <w:rPr>
                <w:sz w:val="17"/>
              </w:rPr>
              <w:t>Full</w:t>
            </w:r>
          </w:p>
        </w:tc>
        <w:tc>
          <w:tcPr>
            <w:tcW w:type="dxa" w:w="1469"/>
          </w:tcPr>
          <w:p>
            <w:pPr>
              <w:spacing w:after="40" w:before="20"/>
            </w:pPr>
            <w:r>
              <w:rPr>
                <w:sz w:val="17"/>
              </w:rPr>
              <w:t>LATE</w:t>
            </w:r>
          </w:p>
        </w:tc>
      </w:tr>
      <w:tr>
        <w:trPr>
          <w:cantSplit/>
        </w:trPr>
        <w:tc>
          <w:tcPr>
            <w:tcW w:type="dxa" w:w="691"/>
          </w:tcPr>
          <w:p>
            <w:pPr>
              <w:spacing w:after="40" w:before="20"/>
            </w:pPr>
            <w:r>
              <w:rPr>
                <w:sz w:val="17"/>
              </w:rPr>
              <w:t>K056</w:t>
            </w:r>
          </w:p>
        </w:tc>
        <w:tc>
          <w:tcPr>
            <w:tcW w:type="dxa" w:w="4651"/>
          </w:tcPr>
          <w:p>
            <w:pPr>
              <w:spacing w:after="40" w:before="20"/>
            </w:pPr>
            <w:r>
              <w:rPr>
                <w:sz w:val="17"/>
              </w:rPr>
              <w:t>Students carry personal sub-pound tablets</w:t>
            </w:r>
          </w:p>
        </w:tc>
        <w:tc>
          <w:tcPr>
            <w:tcW w:type="dxa" w:w="619"/>
          </w:tcPr>
          <w:p>
            <w:pPr>
              <w:spacing w:after="40" w:before="20"/>
            </w:pPr>
            <w:r>
              <w:rPr>
                <w:sz w:val="17"/>
              </w:rPr>
              <w:t>2009</w:t>
            </w:r>
          </w:p>
        </w:tc>
        <w:tc>
          <w:tcPr>
            <w:tcW w:type="dxa" w:w="893"/>
          </w:tcPr>
          <w:p>
            <w:pPr>
              <w:spacing w:after="40" w:before="20"/>
            </w:pPr>
            <w:r>
              <w:rPr>
                <w:sz w:val="17"/>
              </w:rPr>
              <w:t>No</w:t>
            </w:r>
          </w:p>
        </w:tc>
        <w:tc>
          <w:tcPr>
            <w:tcW w:type="dxa" w:w="893"/>
          </w:tcPr>
          <w:p>
            <w:pPr>
              <w:spacing w:after="40" w:before="20"/>
            </w:pPr>
            <w:r>
              <w:rPr>
                <w:sz w:val="17"/>
              </w:rPr>
              <w:t>Partial</w:t>
            </w:r>
          </w:p>
        </w:tc>
        <w:tc>
          <w:tcPr>
            <w:tcW w:type="dxa" w:w="1469"/>
          </w:tcPr>
          <w:p>
            <w:pPr>
              <w:spacing w:after="40" w:before="20"/>
            </w:pPr>
            <w:r>
              <w:rPr>
                <w:sz w:val="17"/>
              </w:rPr>
              <w:t>PARTIAL</w:t>
            </w:r>
          </w:p>
        </w:tc>
      </w:tr>
      <w:tr>
        <w:trPr>
          <w:cantSplit/>
        </w:trPr>
        <w:tc>
          <w:tcPr>
            <w:tcW w:type="dxa" w:w="691"/>
          </w:tcPr>
          <w:p>
            <w:pPr>
              <w:spacing w:after="40" w:before="20"/>
            </w:pPr>
            <w:r>
              <w:rPr>
                <w:sz w:val="17"/>
              </w:rPr>
              <w:t>K057</w:t>
            </w:r>
          </w:p>
        </w:tc>
        <w:tc>
          <w:tcPr>
            <w:tcW w:type="dxa" w:w="4651"/>
          </w:tcPr>
          <w:p>
            <w:pPr>
              <w:spacing w:after="40" w:before="20"/>
            </w:pPr>
            <w:r>
              <w:rPr>
                <w:sz w:val="17"/>
              </w:rPr>
              <w:t>Learning materials arrive wirelessly</w:t>
            </w:r>
          </w:p>
        </w:tc>
        <w:tc>
          <w:tcPr>
            <w:tcW w:type="dxa" w:w="619"/>
          </w:tcPr>
          <w:p>
            <w:pPr>
              <w:spacing w:after="40" w:before="20"/>
            </w:pPr>
            <w:r>
              <w:rPr>
                <w:sz w:val="17"/>
              </w:rPr>
              <w:t>2009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K058</w:t>
            </w:r>
          </w:p>
        </w:tc>
        <w:tc>
          <w:tcPr>
            <w:tcW w:type="dxa" w:w="4651"/>
          </w:tcPr>
          <w:p>
            <w:pPr>
              <w:spacing w:after="40" w:before="20"/>
            </w:pPr>
            <w:r>
              <w:rPr>
                <w:sz w:val="17"/>
              </w:rPr>
              <w:t>Teachers shift mainly to mentoring</w:t>
            </w:r>
          </w:p>
        </w:tc>
        <w:tc>
          <w:tcPr>
            <w:tcW w:type="dxa" w:w="619"/>
          </w:tcPr>
          <w:p>
            <w:pPr>
              <w:spacing w:after="40" w:before="20"/>
            </w:pPr>
            <w:r>
              <w:rPr>
                <w:sz w:val="17"/>
              </w:rPr>
              <w:t>2009</w:t>
            </w:r>
          </w:p>
        </w:tc>
        <w:tc>
          <w:tcPr>
            <w:tcW w:type="dxa" w:w="893"/>
          </w:tcPr>
          <w:p>
            <w:pPr>
              <w:spacing w:after="40" w:before="20"/>
            </w:pPr>
            <w:r>
              <w:rPr>
                <w:sz w:val="17"/>
              </w:rPr>
              <w:t>Partial</w:t>
            </w:r>
          </w:p>
        </w:tc>
        <w:tc>
          <w:tcPr>
            <w:tcW w:type="dxa" w:w="893"/>
          </w:tcPr>
          <w:p>
            <w:pPr>
              <w:spacing w:after="40" w:before="20"/>
            </w:pPr>
            <w:r>
              <w:rPr>
                <w:sz w:val="17"/>
              </w:rPr>
              <w:t>Partial</w:t>
            </w:r>
          </w:p>
        </w:tc>
        <w:tc>
          <w:tcPr>
            <w:tcW w:type="dxa" w:w="1469"/>
          </w:tcPr>
          <w:p>
            <w:pPr>
              <w:spacing w:after="40" w:before="20"/>
            </w:pPr>
            <w:r>
              <w:rPr>
                <w:sz w:val="17"/>
              </w:rPr>
              <w:t>PARTIAL</w:t>
            </w:r>
          </w:p>
        </w:tc>
      </w:tr>
      <w:tr>
        <w:trPr>
          <w:cantSplit/>
        </w:trPr>
        <w:tc>
          <w:tcPr>
            <w:tcW w:type="dxa" w:w="691"/>
          </w:tcPr>
          <w:p>
            <w:pPr>
              <w:spacing w:after="40" w:before="20"/>
            </w:pPr>
            <w:r>
              <w:rPr>
                <w:sz w:val="17"/>
              </w:rPr>
              <w:t>K059</w:t>
            </w:r>
          </w:p>
        </w:tc>
        <w:tc>
          <w:tcPr>
            <w:tcW w:type="dxa" w:w="4651"/>
          </w:tcPr>
          <w:p>
            <w:pPr>
              <w:spacing w:after="40" w:before="20"/>
            </w:pPr>
            <w:r>
              <w:rPr>
                <w:sz w:val="17"/>
              </w:rPr>
              <w:t>At least half of transactions occur online</w:t>
            </w:r>
          </w:p>
        </w:tc>
        <w:tc>
          <w:tcPr>
            <w:tcW w:type="dxa" w:w="619"/>
          </w:tcPr>
          <w:p>
            <w:pPr>
              <w:spacing w:after="40" w:before="20"/>
            </w:pPr>
            <w:r>
              <w:rPr>
                <w:sz w:val="17"/>
              </w:rPr>
              <w:t>2009</w:t>
            </w:r>
          </w:p>
        </w:tc>
        <w:tc>
          <w:tcPr>
            <w:tcW w:type="dxa" w:w="893"/>
          </w:tcPr>
          <w:p>
            <w:pPr>
              <w:spacing w:after="40" w:before="20"/>
            </w:pPr>
            <w:r>
              <w:rPr>
                <w:sz w:val="17"/>
              </w:rPr>
              <w:t>No</w:t>
            </w:r>
          </w:p>
        </w:tc>
        <w:tc>
          <w:tcPr>
            <w:tcW w:type="dxa" w:w="893"/>
          </w:tcPr>
          <w:p>
            <w:pPr>
              <w:spacing w:after="40" w:before="20"/>
            </w:pPr>
            <w:r>
              <w:rPr>
                <w:sz w:val="17"/>
              </w:rPr>
              <w:t>No</w:t>
            </w:r>
          </w:p>
        </w:tc>
        <w:tc>
          <w:tcPr>
            <w:tcW w:type="dxa" w:w="1469"/>
          </w:tcPr>
          <w:p>
            <w:pPr>
              <w:spacing w:after="40" w:before="20"/>
            </w:pPr>
            <w:r>
              <w:rPr>
                <w:sz w:val="17"/>
              </w:rPr>
              <w:t>WRONG</w:t>
            </w:r>
          </w:p>
        </w:tc>
      </w:tr>
      <w:tr>
        <w:trPr>
          <w:cantSplit/>
        </w:trPr>
        <w:tc>
          <w:tcPr>
            <w:tcW w:type="dxa" w:w="691"/>
          </w:tcPr>
          <w:p>
            <w:pPr>
              <w:spacing w:after="40" w:before="20"/>
            </w:pPr>
            <w:r>
              <w:rPr>
                <w:sz w:val="17"/>
              </w:rPr>
              <w:t>K060</w:t>
            </w:r>
          </w:p>
        </w:tc>
        <w:tc>
          <w:tcPr>
            <w:tcW w:type="dxa" w:w="4651"/>
          </w:tcPr>
          <w:p>
            <w:pPr>
              <w:spacing w:after="40" w:before="20"/>
            </w:pPr>
            <w:r>
              <w:rPr>
                <w:sz w:val="17"/>
              </w:rPr>
              <w:t>Work groups become geographically distributed</w:t>
            </w:r>
          </w:p>
        </w:tc>
        <w:tc>
          <w:tcPr>
            <w:tcW w:type="dxa" w:w="619"/>
          </w:tcPr>
          <w:p>
            <w:pPr>
              <w:spacing w:after="40" w:before="20"/>
            </w:pPr>
            <w:r>
              <w:rPr>
                <w:sz w:val="17"/>
              </w:rPr>
              <w:t>2009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K061</w:t>
            </w:r>
          </w:p>
        </w:tc>
        <w:tc>
          <w:tcPr>
            <w:tcW w:type="dxa" w:w="4651"/>
          </w:tcPr>
          <w:p>
            <w:pPr>
              <w:spacing w:after="40" w:before="20"/>
            </w:pPr>
            <w:r>
              <w:rPr>
                <w:sz w:val="17"/>
              </w:rPr>
              <w:t>Household robots emerge before full acceptance</w:t>
            </w:r>
          </w:p>
        </w:tc>
        <w:tc>
          <w:tcPr>
            <w:tcW w:type="dxa" w:w="619"/>
          </w:tcPr>
          <w:p>
            <w:pPr>
              <w:spacing w:after="40" w:before="20"/>
            </w:pPr>
            <w:r>
              <w:rPr>
                <w:sz w:val="17"/>
              </w:rPr>
              <w:t>2009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K062</w:t>
            </w:r>
          </w:p>
        </w:tc>
        <w:tc>
          <w:tcPr>
            <w:tcW w:type="dxa" w:w="4651"/>
          </w:tcPr>
          <w:p>
            <w:pPr>
              <w:spacing w:after="40" w:before="20"/>
            </w:pPr>
            <w:r>
              <w:rPr>
                <w:sz w:val="17"/>
              </w:rPr>
              <w:t>Telemedicine includes remote tactile examinations</w:t>
            </w:r>
          </w:p>
        </w:tc>
        <w:tc>
          <w:tcPr>
            <w:tcW w:type="dxa" w:w="619"/>
          </w:tcPr>
          <w:p>
            <w:pPr>
              <w:spacing w:after="40" w:before="20"/>
            </w:pPr>
            <w:r>
              <w:rPr>
                <w:sz w:val="17"/>
              </w:rPr>
              <w:t>2009</w:t>
            </w:r>
          </w:p>
        </w:tc>
        <w:tc>
          <w:tcPr>
            <w:tcW w:type="dxa" w:w="893"/>
          </w:tcPr>
          <w:p>
            <w:pPr>
              <w:spacing w:after="40" w:before="20"/>
            </w:pPr>
            <w:r>
              <w:rPr>
                <w:sz w:val="17"/>
              </w:rPr>
              <w:t>Partial</w:t>
            </w:r>
          </w:p>
        </w:tc>
        <w:tc>
          <w:tcPr>
            <w:tcW w:type="dxa" w:w="893"/>
          </w:tcPr>
          <w:p>
            <w:pPr>
              <w:spacing w:after="40" w:before="20"/>
            </w:pPr>
            <w:r>
              <w:rPr>
                <w:sz w:val="17"/>
              </w:rPr>
              <w:t>Partial</w:t>
            </w:r>
          </w:p>
        </w:tc>
        <w:tc>
          <w:tcPr>
            <w:tcW w:type="dxa" w:w="1469"/>
          </w:tcPr>
          <w:p>
            <w:pPr>
              <w:spacing w:after="40" w:before="20"/>
            </w:pPr>
            <w:r>
              <w:rPr>
                <w:sz w:val="17"/>
              </w:rPr>
              <w:t>PARTIAL</w:t>
            </w:r>
          </w:p>
        </w:tc>
      </w:tr>
      <w:tr>
        <w:trPr>
          <w:cantSplit/>
        </w:trPr>
        <w:tc>
          <w:tcPr>
            <w:tcW w:type="dxa" w:w="691"/>
          </w:tcPr>
          <w:p>
            <w:pPr>
              <w:spacing w:after="40" w:before="20"/>
            </w:pPr>
            <w:r>
              <w:rPr>
                <w:sz w:val="17"/>
              </w:rPr>
              <w:t>K063</w:t>
            </w:r>
          </w:p>
        </w:tc>
        <w:tc>
          <w:tcPr>
            <w:tcW w:type="dxa" w:w="4651"/>
          </w:tcPr>
          <w:p>
            <w:pPr>
              <w:spacing w:after="40" w:before="20"/>
            </w:pPr>
            <w:r>
              <w:rPr>
                <w:sz w:val="17"/>
              </w:rPr>
              <w:t>Pattern recognition becomes routine in medical imaging</w:t>
            </w:r>
          </w:p>
        </w:tc>
        <w:tc>
          <w:tcPr>
            <w:tcW w:type="dxa" w:w="619"/>
          </w:tcPr>
          <w:p>
            <w:pPr>
              <w:spacing w:after="40" w:before="20"/>
            </w:pPr>
            <w:r>
              <w:rPr>
                <w:sz w:val="17"/>
              </w:rPr>
              <w:t>2009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K064</w:t>
            </w:r>
          </w:p>
        </w:tc>
        <w:tc>
          <w:tcPr>
            <w:tcW w:type="dxa" w:w="4651"/>
          </w:tcPr>
          <w:p>
            <w:pPr>
              <w:spacing w:after="40" w:before="20"/>
            </w:pPr>
            <w:r>
              <w:rPr>
                <w:sz w:val="17"/>
              </w:rPr>
              <w:t>Patient histories become lifelong digital records</w:t>
            </w:r>
          </w:p>
        </w:tc>
        <w:tc>
          <w:tcPr>
            <w:tcW w:type="dxa" w:w="619"/>
          </w:tcPr>
          <w:p>
            <w:pPr>
              <w:spacing w:after="40" w:before="20"/>
            </w:pPr>
            <w:r>
              <w:rPr>
                <w:sz w:val="17"/>
              </w:rPr>
              <w:t>2009</w:t>
            </w:r>
          </w:p>
        </w:tc>
        <w:tc>
          <w:tcPr>
            <w:tcW w:type="dxa" w:w="893"/>
          </w:tcPr>
          <w:p>
            <w:pPr>
              <w:spacing w:after="40" w:before="20"/>
            </w:pPr>
            <w:r>
              <w:rPr>
                <w:sz w:val="17"/>
              </w:rPr>
              <w:t>Partial</w:t>
            </w:r>
          </w:p>
        </w:tc>
        <w:tc>
          <w:tcPr>
            <w:tcW w:type="dxa" w:w="893"/>
          </w:tcPr>
          <w:p>
            <w:pPr>
              <w:spacing w:after="40" w:before="20"/>
            </w:pPr>
            <w:r>
              <w:rPr>
                <w:sz w:val="17"/>
              </w:rPr>
              <w:t>Full</w:t>
            </w:r>
          </w:p>
        </w:tc>
        <w:tc>
          <w:tcPr>
            <w:tcW w:type="dxa" w:w="1469"/>
          </w:tcPr>
          <w:p>
            <w:pPr>
              <w:spacing w:after="40" w:before="20"/>
            </w:pPr>
            <w:r>
              <w:rPr>
                <w:sz w:val="17"/>
              </w:rPr>
              <w:t>LATE</w:t>
            </w:r>
          </w:p>
        </w:tc>
      </w:tr>
      <w:tr>
        <w:trPr>
          <w:cantSplit/>
        </w:trPr>
        <w:tc>
          <w:tcPr>
            <w:tcW w:type="dxa" w:w="691"/>
          </w:tcPr>
          <w:p>
            <w:pPr>
              <w:spacing w:after="40" w:before="20"/>
            </w:pPr>
            <w:r>
              <w:rPr>
                <w:sz w:val="17"/>
              </w:rPr>
              <w:t>K065</w:t>
            </w:r>
          </w:p>
        </w:tc>
        <w:tc>
          <w:tcPr>
            <w:tcW w:type="dxa" w:w="4651"/>
          </w:tcPr>
          <w:p>
            <w:pPr>
              <w:spacing w:after="40" w:before="20"/>
            </w:pPr>
            <w:r>
              <w:rPr>
                <w:sz w:val="17"/>
              </w:rPr>
              <w:t>Screens become the preferred visual-art medium</w:t>
            </w:r>
          </w:p>
        </w:tc>
        <w:tc>
          <w:tcPr>
            <w:tcW w:type="dxa" w:w="619"/>
          </w:tcPr>
          <w:p>
            <w:pPr>
              <w:spacing w:after="40" w:before="20"/>
            </w:pPr>
            <w:r>
              <w:rPr>
                <w:sz w:val="17"/>
              </w:rPr>
              <w:t>2009</w:t>
            </w:r>
          </w:p>
        </w:tc>
        <w:tc>
          <w:tcPr>
            <w:tcW w:type="dxa" w:w="893"/>
          </w:tcPr>
          <w:p>
            <w:pPr>
              <w:spacing w:after="40" w:before="20"/>
            </w:pPr>
            <w:r>
              <w:rPr>
                <w:sz w:val="17"/>
              </w:rPr>
              <w:t>Partial</w:t>
            </w:r>
          </w:p>
        </w:tc>
        <w:tc>
          <w:tcPr>
            <w:tcW w:type="dxa" w:w="893"/>
          </w:tcPr>
          <w:p>
            <w:pPr>
              <w:spacing w:after="40" w:before="20"/>
            </w:pPr>
            <w:r>
              <w:rPr>
                <w:sz w:val="17"/>
              </w:rPr>
              <w:t>Partial</w:t>
            </w:r>
          </w:p>
        </w:tc>
        <w:tc>
          <w:tcPr>
            <w:tcW w:type="dxa" w:w="1469"/>
          </w:tcPr>
          <w:p>
            <w:pPr>
              <w:spacing w:after="40" w:before="20"/>
            </w:pPr>
            <w:r>
              <w:rPr>
                <w:sz w:val="17"/>
              </w:rPr>
              <w:t>PARTIAL</w:t>
            </w:r>
          </w:p>
        </w:tc>
      </w:tr>
      <w:tr>
        <w:trPr>
          <w:cantSplit/>
        </w:trPr>
        <w:tc>
          <w:tcPr>
            <w:tcW w:type="dxa" w:w="691"/>
          </w:tcPr>
          <w:p>
            <w:pPr>
              <w:spacing w:after="40" w:before="20"/>
            </w:pPr>
            <w:r>
              <w:rPr>
                <w:sz w:val="17"/>
              </w:rPr>
              <w:t>K066</w:t>
            </w:r>
          </w:p>
        </w:tc>
        <w:tc>
          <w:tcPr>
            <w:tcW w:type="dxa" w:w="4651"/>
          </w:tcPr>
          <w:p>
            <w:pPr>
              <w:spacing w:after="40" w:before="20"/>
            </w:pPr>
            <w:r>
              <w:rPr>
                <w:sz w:val="17"/>
              </w:rPr>
              <w:t>Nonmusicians compose music with software</w:t>
            </w:r>
          </w:p>
        </w:tc>
        <w:tc>
          <w:tcPr>
            <w:tcW w:type="dxa" w:w="619"/>
          </w:tcPr>
          <w:p>
            <w:pPr>
              <w:spacing w:after="40" w:before="20"/>
            </w:pPr>
            <w:r>
              <w:rPr>
                <w:sz w:val="17"/>
              </w:rPr>
              <w:t>2009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K067</w:t>
            </w:r>
          </w:p>
        </w:tc>
        <w:tc>
          <w:tcPr>
            <w:tcW w:type="dxa" w:w="4651"/>
          </w:tcPr>
          <w:p>
            <w:pPr>
              <w:spacing w:after="40" w:before="20"/>
            </w:pPr>
            <w:r>
              <w:rPr>
                <w:sz w:val="17"/>
              </w:rPr>
              <w:t>Remote touch technology begins to emerge</w:t>
            </w:r>
          </w:p>
        </w:tc>
        <w:tc>
          <w:tcPr>
            <w:tcW w:type="dxa" w:w="619"/>
          </w:tcPr>
          <w:p>
            <w:pPr>
              <w:spacing w:after="40" w:before="20"/>
            </w:pPr>
            <w:r>
              <w:rPr>
                <w:sz w:val="17"/>
              </w:rPr>
              <w:t>2009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bl>
    <w:p>
      <w:r>
        <w:t>Forecast source: selected sections of the author-adapted article [P02] and the retrospective [P01]. These are paraphrased standalone clauses, not a claim that every sentence in either source has been extracted. Outcome evidence is independently linked per record.</w:t>
      </w:r>
    </w:p>
    <w:p>
      <w:r>
        <w:br w:type="page"/>
      </w:r>
    </w:p>
    <w:p>
      <w:pPr>
        <w:pStyle w:val="Title"/>
      </w:pPr>
      <w:r>
        <w:t>4 / New records — continued</w:t>
      </w:r>
    </w:p>
    <w:p>
      <w:r>
        <w:t>Each row is a newly added forecast/version, not another repetition of an existing source citation. “By review” uses the reference reading. Detailed criteria and alternatives are in the accompanying dossiers.</w:t>
      </w:r>
    </w:p>
    <w:tbl>
      <w:tblPr>
        <w:tblStyle w:val="LightShading-Accent1"/>
        <w:tblW w:type="auto" w:w="0"/>
        <w:tblLayout w:type="fixed"/>
        <w:tblLook w:firstColumn="1" w:firstRow="1" w:lastColumn="0" w:lastRow="0" w:noHBand="0" w:noVBand="1" w:val="04A0"/>
      </w:tblPr>
      <w:tblGrid>
        <w:gridCol w:w="691"/>
        <w:gridCol w:w="4651"/>
        <w:gridCol w:w="619"/>
        <w:gridCol w:w="893"/>
        <w:gridCol w:w="893"/>
        <w:gridCol w:w="1469"/>
      </w:tblGrid>
      <w:tr>
        <w:trPr>
          <w:tblHeader w:val="true"/>
          <w:cantSplit/>
        </w:trPr>
        <w:tc>
          <w:tcPr>
            <w:tcW w:type="dxa" w:w="691"/>
            <w:shd w:fill="304D3C"/>
          </w:tcPr>
          <w:p>
            <w:pPr>
              <w:spacing w:after="40" w:before="20"/>
            </w:pPr>
            <w:r>
              <w:rPr>
                <w:b/>
                <w:color w:val="FFFFFF"/>
                <w:sz w:val="17"/>
              </w:rPr>
              <w:t>ID</w:t>
            </w:r>
          </w:p>
        </w:tc>
        <w:tc>
          <w:tcPr>
            <w:tcW w:type="dxa" w:w="4651"/>
            <w:shd w:fill="304D3C"/>
          </w:tcPr>
          <w:p>
            <w:pPr>
              <w:spacing w:after="40" w:before="20"/>
            </w:pPr>
            <w:r>
              <w:rPr>
                <w:b/>
                <w:color w:val="FFFFFF"/>
                <w:sz w:val="17"/>
              </w:rPr>
              <w:t>Prediction</w:t>
            </w:r>
          </w:p>
        </w:tc>
        <w:tc>
          <w:tcPr>
            <w:tcW w:type="dxa" w:w="619"/>
            <w:shd w:fill="304D3C"/>
          </w:tcPr>
          <w:p>
            <w:pPr>
              <w:spacing w:after="40" w:before="20"/>
            </w:pPr>
            <w:r>
              <w:rPr>
                <w:b/>
                <w:color w:val="FFFFFF"/>
                <w:sz w:val="17"/>
              </w:rPr>
              <w:t>Due</w:t>
            </w:r>
          </w:p>
        </w:tc>
        <w:tc>
          <w:tcPr>
            <w:tcW w:type="dxa" w:w="893"/>
            <w:shd w:fill="304D3C"/>
          </w:tcPr>
          <w:p>
            <w:pPr>
              <w:spacing w:after="40" w:before="20"/>
            </w:pPr>
            <w:r>
              <w:rPr>
                <w:b/>
                <w:color w:val="FFFFFF"/>
                <w:sz w:val="17"/>
              </w:rPr>
              <w:t>Then</w:t>
            </w:r>
          </w:p>
        </w:tc>
        <w:tc>
          <w:tcPr>
            <w:tcW w:type="dxa" w:w="893"/>
            <w:shd w:fill="304D3C"/>
          </w:tcPr>
          <w:p>
            <w:pPr>
              <w:spacing w:after="40" w:before="20"/>
            </w:pPr>
            <w:r>
              <w:rPr>
                <w:b/>
                <w:color w:val="FFFFFF"/>
                <w:sz w:val="17"/>
              </w:rPr>
              <w:t>Now</w:t>
            </w:r>
          </w:p>
        </w:tc>
        <w:tc>
          <w:tcPr>
            <w:tcW w:type="dxa" w:w="1469"/>
            <w:shd w:fill="304D3C"/>
          </w:tcPr>
          <w:p>
            <w:pPr>
              <w:spacing w:after="40" w:before="20"/>
            </w:pPr>
            <w:r>
              <w:rPr>
                <w:b/>
                <w:color w:val="FFFFFF"/>
                <w:sz w:val="17"/>
              </w:rPr>
              <w:t>Verdict</w:t>
            </w:r>
          </w:p>
        </w:tc>
      </w:tr>
      <w:tr>
        <w:trPr>
          <w:cantSplit/>
        </w:trPr>
        <w:tc>
          <w:tcPr>
            <w:tcW w:type="dxa" w:w="691"/>
          </w:tcPr>
          <w:p>
            <w:pPr>
              <w:spacing w:after="40" w:before="20"/>
            </w:pPr>
            <w:r>
              <w:rPr>
                <w:sz w:val="17"/>
              </w:rPr>
              <w:t>K068</w:t>
            </w:r>
          </w:p>
        </w:tc>
        <w:tc>
          <w:tcPr>
            <w:tcW w:type="dxa" w:w="4651"/>
          </w:tcPr>
          <w:p>
            <w:pPr>
              <w:spacing w:after="40" w:before="20"/>
            </w:pPr>
            <w:r>
              <w:rPr>
                <w:sz w:val="17"/>
              </w:rPr>
              <w:t>Photorealistic virtual rooms replace text chat</w:t>
            </w:r>
          </w:p>
        </w:tc>
        <w:tc>
          <w:tcPr>
            <w:tcW w:type="dxa" w:w="619"/>
          </w:tcPr>
          <w:p>
            <w:pPr>
              <w:spacing w:after="40" w:before="20"/>
            </w:pPr>
            <w:r>
              <w:rPr>
                <w:sz w:val="17"/>
              </w:rPr>
              <w:t>2009</w:t>
            </w:r>
          </w:p>
        </w:tc>
        <w:tc>
          <w:tcPr>
            <w:tcW w:type="dxa" w:w="893"/>
          </w:tcPr>
          <w:p>
            <w:pPr>
              <w:spacing w:after="40" w:before="20"/>
            </w:pPr>
            <w:r>
              <w:rPr>
                <w:sz w:val="17"/>
              </w:rPr>
              <w:t>No</w:t>
            </w:r>
          </w:p>
        </w:tc>
        <w:tc>
          <w:tcPr>
            <w:tcW w:type="dxa" w:w="893"/>
          </w:tcPr>
          <w:p>
            <w:pPr>
              <w:spacing w:after="40" w:before="20"/>
            </w:pPr>
            <w:r>
              <w:rPr>
                <w:sz w:val="17"/>
              </w:rPr>
              <w:t>No</w:t>
            </w:r>
          </w:p>
        </w:tc>
        <w:tc>
          <w:tcPr>
            <w:tcW w:type="dxa" w:w="1469"/>
          </w:tcPr>
          <w:p>
            <w:pPr>
              <w:spacing w:after="40" w:before="20"/>
            </w:pPr>
            <w:r>
              <w:rPr>
                <w:sz w:val="17"/>
              </w:rPr>
              <w:t>WRONG</w:t>
            </w:r>
          </w:p>
        </w:tc>
      </w:tr>
      <w:tr>
        <w:trPr>
          <w:cantSplit/>
        </w:trPr>
        <w:tc>
          <w:tcPr>
            <w:tcW w:type="dxa" w:w="691"/>
          </w:tcPr>
          <w:p>
            <w:pPr>
              <w:spacing w:after="40" w:before="20"/>
            </w:pPr>
            <w:r>
              <w:rPr>
                <w:sz w:val="17"/>
              </w:rPr>
              <w:t>K069</w:t>
            </w:r>
          </w:p>
        </w:tc>
        <w:tc>
          <w:tcPr>
            <w:tcW w:type="dxa" w:w="4651"/>
          </w:tcPr>
          <w:p>
            <w:pPr>
              <w:spacing w:after="40" w:before="20"/>
            </w:pPr>
            <w:r>
              <w:rPr>
                <w:sz w:val="17"/>
              </w:rPr>
              <w:t>Wireless phones routinely carry live video</w:t>
            </w:r>
          </w:p>
        </w:tc>
        <w:tc>
          <w:tcPr>
            <w:tcW w:type="dxa" w:w="619"/>
          </w:tcPr>
          <w:p>
            <w:pPr>
              <w:spacing w:after="40" w:before="20"/>
            </w:pPr>
            <w:r>
              <w:rPr>
                <w:sz w:val="17"/>
              </w:rPr>
              <w:t>2009</w:t>
            </w:r>
          </w:p>
        </w:tc>
        <w:tc>
          <w:tcPr>
            <w:tcW w:type="dxa" w:w="893"/>
          </w:tcPr>
          <w:p>
            <w:pPr>
              <w:spacing w:after="40" w:before="20"/>
            </w:pPr>
            <w:r>
              <w:rPr>
                <w:sz w:val="17"/>
              </w:rPr>
              <w:t>Partial</w:t>
            </w:r>
          </w:p>
        </w:tc>
        <w:tc>
          <w:tcPr>
            <w:tcW w:type="dxa" w:w="893"/>
          </w:tcPr>
          <w:p>
            <w:pPr>
              <w:spacing w:after="40" w:before="20"/>
            </w:pPr>
            <w:r>
              <w:rPr>
                <w:sz w:val="17"/>
              </w:rPr>
              <w:t>Full</w:t>
            </w:r>
          </w:p>
        </w:tc>
        <w:tc>
          <w:tcPr>
            <w:tcW w:type="dxa" w:w="1469"/>
          </w:tcPr>
          <w:p>
            <w:pPr>
              <w:spacing w:after="40" w:before="20"/>
            </w:pPr>
            <w:r>
              <w:rPr>
                <w:sz w:val="17"/>
              </w:rPr>
              <w:t>LATE</w:t>
            </w:r>
          </w:p>
        </w:tc>
      </w:tr>
      <w:tr>
        <w:trPr>
          <w:cantSplit/>
        </w:trPr>
        <w:tc>
          <w:tcPr>
            <w:tcW w:type="dxa" w:w="691"/>
          </w:tcPr>
          <w:p>
            <w:pPr>
              <w:spacing w:after="40" w:before="20"/>
            </w:pPr>
            <w:r>
              <w:rPr>
                <w:sz w:val="17"/>
              </w:rPr>
              <w:t>K070</w:t>
            </w:r>
          </w:p>
        </w:tc>
        <w:tc>
          <w:tcPr>
            <w:tcW w:type="dxa" w:w="4651"/>
          </w:tcPr>
          <w:p>
            <w:pPr>
              <w:spacing w:after="40" w:before="20"/>
            </w:pPr>
            <w:r>
              <w:rPr>
                <w:sz w:val="17"/>
              </w:rPr>
              <w:t>Electronic storage fully replaces rotating media</w:t>
            </w:r>
          </w:p>
        </w:tc>
        <w:tc>
          <w:tcPr>
            <w:tcW w:type="dxa" w:w="619"/>
          </w:tcPr>
          <w:p>
            <w:pPr>
              <w:spacing w:after="40" w:before="20"/>
            </w:pPr>
            <w:r>
              <w:rPr>
                <w:sz w:val="17"/>
              </w:rPr>
              <w:t>2019</w:t>
            </w:r>
          </w:p>
        </w:tc>
        <w:tc>
          <w:tcPr>
            <w:tcW w:type="dxa" w:w="893"/>
          </w:tcPr>
          <w:p>
            <w:pPr>
              <w:spacing w:after="40" w:before="20"/>
            </w:pPr>
            <w:r>
              <w:rPr>
                <w:sz w:val="17"/>
              </w:rPr>
              <w:t>No</w:t>
            </w:r>
          </w:p>
        </w:tc>
        <w:tc>
          <w:tcPr>
            <w:tcW w:type="dxa" w:w="893"/>
          </w:tcPr>
          <w:p>
            <w:pPr>
              <w:spacing w:after="40" w:before="20"/>
            </w:pPr>
            <w:r>
              <w:rPr>
                <w:sz w:val="17"/>
              </w:rPr>
              <w:t>No</w:t>
            </w:r>
          </w:p>
        </w:tc>
        <w:tc>
          <w:tcPr>
            <w:tcW w:type="dxa" w:w="1469"/>
          </w:tcPr>
          <w:p>
            <w:pPr>
              <w:spacing w:after="40" w:before="20"/>
            </w:pPr>
            <w:r>
              <w:rPr>
                <w:sz w:val="17"/>
              </w:rPr>
              <w:t>WRONG</w:t>
            </w:r>
          </w:p>
        </w:tc>
      </w:tr>
      <w:tr>
        <w:trPr>
          <w:cantSplit/>
        </w:trPr>
        <w:tc>
          <w:tcPr>
            <w:tcW w:type="dxa" w:w="691"/>
          </w:tcPr>
          <w:p>
            <w:pPr>
              <w:spacing w:after="40" w:before="20"/>
            </w:pPr>
            <w:r>
              <w:rPr>
                <w:sz w:val="17"/>
              </w:rPr>
              <w:t>K071</w:t>
            </w:r>
          </w:p>
        </w:tc>
        <w:tc>
          <w:tcPr>
            <w:tcW w:type="dxa" w:w="4651"/>
          </w:tcPr>
          <w:p>
            <w:pPr>
              <w:spacing w:after="40" w:before="20"/>
            </w:pPr>
            <w:r>
              <w:rPr>
                <w:sz w:val="17"/>
              </w:rPr>
              <w:t>Carbon-nanotube circuitry becomes prevalent</w:t>
            </w:r>
          </w:p>
        </w:tc>
        <w:tc>
          <w:tcPr>
            <w:tcW w:type="dxa" w:w="619"/>
          </w:tcPr>
          <w:p>
            <w:pPr>
              <w:spacing w:after="40" w:before="20"/>
            </w:pPr>
            <w:r>
              <w:rPr>
                <w:sz w:val="17"/>
              </w:rPr>
              <w:t>2019</w:t>
            </w:r>
          </w:p>
        </w:tc>
        <w:tc>
          <w:tcPr>
            <w:tcW w:type="dxa" w:w="893"/>
          </w:tcPr>
          <w:p>
            <w:pPr>
              <w:spacing w:after="40" w:before="20"/>
            </w:pPr>
            <w:r>
              <w:rPr>
                <w:sz w:val="17"/>
              </w:rPr>
              <w:t>No</w:t>
            </w:r>
          </w:p>
        </w:tc>
        <w:tc>
          <w:tcPr>
            <w:tcW w:type="dxa" w:w="893"/>
          </w:tcPr>
          <w:p>
            <w:pPr>
              <w:spacing w:after="40" w:before="20"/>
            </w:pPr>
            <w:r>
              <w:rPr>
                <w:sz w:val="17"/>
              </w:rPr>
              <w:t>No</w:t>
            </w:r>
          </w:p>
        </w:tc>
        <w:tc>
          <w:tcPr>
            <w:tcW w:type="dxa" w:w="1469"/>
          </w:tcPr>
          <w:p>
            <w:pPr>
              <w:spacing w:after="40" w:before="20"/>
            </w:pPr>
            <w:r>
              <w:rPr>
                <w:sz w:val="17"/>
              </w:rPr>
              <w:t>WRONG</w:t>
            </w:r>
          </w:p>
        </w:tc>
      </w:tr>
      <w:tr>
        <w:trPr>
          <w:cantSplit/>
        </w:trPr>
        <w:tc>
          <w:tcPr>
            <w:tcW w:type="dxa" w:w="691"/>
          </w:tcPr>
          <w:p>
            <w:pPr>
              <w:spacing w:after="40" w:before="20"/>
            </w:pPr>
            <w:r>
              <w:rPr>
                <w:sz w:val="17"/>
              </w:rPr>
              <w:t>K072</w:t>
            </w:r>
          </w:p>
        </w:tc>
        <w:tc>
          <w:tcPr>
            <w:tcW w:type="dxa" w:w="4651"/>
          </w:tcPr>
          <w:p>
            <w:pPr>
              <w:spacing w:after="40" w:before="20"/>
            </w:pPr>
            <w:r>
              <w:rPr>
                <w:sz w:val="17"/>
              </w:rPr>
              <w:t>Neural and genetic methods consume most computation</w:t>
            </w:r>
          </w:p>
        </w:tc>
        <w:tc>
          <w:tcPr>
            <w:tcW w:type="dxa" w:w="619"/>
          </w:tcPr>
          <w:p>
            <w:pPr>
              <w:spacing w:after="40" w:before="20"/>
            </w:pPr>
            <w:r>
              <w:rPr>
                <w:sz w:val="17"/>
              </w:rPr>
              <w:t>2019</w:t>
            </w:r>
          </w:p>
        </w:tc>
        <w:tc>
          <w:tcPr>
            <w:tcW w:type="dxa" w:w="893"/>
          </w:tcPr>
          <w:p>
            <w:pPr>
              <w:spacing w:after="40" w:before="20"/>
            </w:pPr>
            <w:r>
              <w:rPr>
                <w:sz w:val="17"/>
              </w:rPr>
              <w:t>No</w:t>
            </w:r>
          </w:p>
        </w:tc>
        <w:tc>
          <w:tcPr>
            <w:tcW w:type="dxa" w:w="893"/>
          </w:tcPr>
          <w:p>
            <w:pPr>
              <w:spacing w:after="40" w:before="20"/>
            </w:pPr>
            <w:r>
              <w:rPr>
                <w:sz w:val="17"/>
              </w:rPr>
              <w:t>Partial</w:t>
            </w:r>
          </w:p>
        </w:tc>
        <w:tc>
          <w:tcPr>
            <w:tcW w:type="dxa" w:w="1469"/>
          </w:tcPr>
          <w:p>
            <w:pPr>
              <w:spacing w:after="40" w:before="20"/>
            </w:pPr>
            <w:r>
              <w:rPr>
                <w:sz w:val="17"/>
              </w:rPr>
              <w:t>PARTIAL</w:t>
            </w:r>
          </w:p>
        </w:tc>
      </w:tr>
      <w:tr>
        <w:trPr>
          <w:cantSplit/>
        </w:trPr>
        <w:tc>
          <w:tcPr>
            <w:tcW w:type="dxa" w:w="691"/>
          </w:tcPr>
          <w:p>
            <w:pPr>
              <w:spacing w:after="40" w:before="20"/>
            </w:pPr>
            <w:r>
              <w:rPr>
                <w:sz w:val="17"/>
              </w:rPr>
              <w:t>K073</w:t>
            </w:r>
          </w:p>
        </w:tc>
        <w:tc>
          <w:tcPr>
            <w:tcW w:type="dxa" w:w="4651"/>
          </w:tcPr>
          <w:p>
            <w:pPr>
              <w:spacing w:after="40" w:before="20"/>
            </w:pPr>
            <w:r>
              <w:rPr>
                <w:sz w:val="17"/>
              </w:rPr>
              <w:t>Brain scanning clarifies specialized neural regions</w:t>
            </w:r>
          </w:p>
        </w:tc>
        <w:tc>
          <w:tcPr>
            <w:tcW w:type="dxa" w:w="619"/>
          </w:tcPr>
          <w:p>
            <w:pPr>
              <w:spacing w:after="40" w:before="20"/>
            </w:pPr>
            <w:r>
              <w:rPr>
                <w:sz w:val="17"/>
              </w:rPr>
              <w:t>2019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K074</w:t>
            </w:r>
          </w:p>
        </w:tc>
        <w:tc>
          <w:tcPr>
            <w:tcW w:type="dxa" w:w="4651"/>
          </w:tcPr>
          <w:p>
            <w:pPr>
              <w:spacing w:after="40" w:before="20"/>
            </w:pPr>
            <w:r>
              <w:rPr>
                <w:sz w:val="17"/>
              </w:rPr>
              <w:t>Tiny diffraction cameras replace most lenses</w:t>
            </w:r>
          </w:p>
        </w:tc>
        <w:tc>
          <w:tcPr>
            <w:tcW w:type="dxa" w:w="619"/>
          </w:tcPr>
          <w:p>
            <w:pPr>
              <w:spacing w:after="40" w:before="20"/>
            </w:pPr>
            <w:r>
              <w:rPr>
                <w:sz w:val="17"/>
              </w:rPr>
              <w:t>2019</w:t>
            </w:r>
          </w:p>
        </w:tc>
        <w:tc>
          <w:tcPr>
            <w:tcW w:type="dxa" w:w="893"/>
          </w:tcPr>
          <w:p>
            <w:pPr>
              <w:spacing w:after="40" w:before="20"/>
            </w:pPr>
            <w:r>
              <w:rPr>
                <w:sz w:val="17"/>
              </w:rPr>
              <w:t>No</w:t>
            </w:r>
          </w:p>
        </w:tc>
        <w:tc>
          <w:tcPr>
            <w:tcW w:type="dxa" w:w="893"/>
          </w:tcPr>
          <w:p>
            <w:pPr>
              <w:spacing w:after="40" w:before="20"/>
            </w:pPr>
            <w:r>
              <w:rPr>
                <w:sz w:val="17"/>
              </w:rPr>
              <w:t>No</w:t>
            </w:r>
          </w:p>
        </w:tc>
        <w:tc>
          <w:tcPr>
            <w:tcW w:type="dxa" w:w="1469"/>
          </w:tcPr>
          <w:p>
            <w:pPr>
              <w:spacing w:after="40" w:before="20"/>
            </w:pPr>
            <w:r>
              <w:rPr>
                <w:sz w:val="17"/>
              </w:rPr>
              <w:t>WRONG</w:t>
            </w:r>
          </w:p>
        </w:tc>
      </w:tr>
      <w:tr>
        <w:trPr>
          <w:cantSplit/>
        </w:trPr>
        <w:tc>
          <w:tcPr>
            <w:tcW w:type="dxa" w:w="691"/>
          </w:tcPr>
          <w:p>
            <w:pPr>
              <w:spacing w:after="40" w:before="20"/>
            </w:pPr>
            <w:r>
              <w:rPr>
                <w:sz w:val="17"/>
              </w:rPr>
              <w:t>K075</w:t>
            </w:r>
          </w:p>
        </w:tc>
        <w:tc>
          <w:tcPr>
            <w:tcW w:type="dxa" w:w="4651"/>
          </w:tcPr>
          <w:p>
            <w:pPr>
              <w:spacing w:after="40" w:before="20"/>
            </w:pPr>
            <w:r>
              <w:rPr>
                <w:sz w:val="17"/>
              </w:rPr>
              <w:t>Calls provide convincing three-dimensional presence</w:t>
            </w:r>
          </w:p>
        </w:tc>
        <w:tc>
          <w:tcPr>
            <w:tcW w:type="dxa" w:w="619"/>
          </w:tcPr>
          <w:p>
            <w:pPr>
              <w:spacing w:after="40" w:before="20"/>
            </w:pPr>
            <w:r>
              <w:rPr>
                <w:sz w:val="17"/>
              </w:rPr>
              <w:t>2019</w:t>
            </w:r>
          </w:p>
        </w:tc>
        <w:tc>
          <w:tcPr>
            <w:tcW w:type="dxa" w:w="893"/>
          </w:tcPr>
          <w:p>
            <w:pPr>
              <w:spacing w:after="40" w:before="20"/>
            </w:pPr>
            <w:r>
              <w:rPr>
                <w:sz w:val="17"/>
              </w:rPr>
              <w:t>No</w:t>
            </w:r>
          </w:p>
        </w:tc>
        <w:tc>
          <w:tcPr>
            <w:tcW w:type="dxa" w:w="893"/>
          </w:tcPr>
          <w:p>
            <w:pPr>
              <w:spacing w:after="40" w:before="20"/>
            </w:pPr>
            <w:r>
              <w:rPr>
                <w:sz w:val="17"/>
              </w:rPr>
              <w:t>Partial</w:t>
            </w:r>
          </w:p>
        </w:tc>
        <w:tc>
          <w:tcPr>
            <w:tcW w:type="dxa" w:w="1469"/>
          </w:tcPr>
          <w:p>
            <w:pPr>
              <w:spacing w:after="40" w:before="20"/>
            </w:pPr>
            <w:r>
              <w:rPr>
                <w:sz w:val="17"/>
              </w:rPr>
              <w:t>PARTIAL</w:t>
            </w:r>
          </w:p>
        </w:tc>
      </w:tr>
      <w:tr>
        <w:trPr>
          <w:cantSplit/>
        </w:trPr>
        <w:tc>
          <w:tcPr>
            <w:tcW w:type="dxa" w:w="691"/>
          </w:tcPr>
          <w:p>
            <w:pPr>
              <w:spacing w:after="40" w:before="20"/>
            </w:pPr>
            <w:r>
              <w:rPr>
                <w:sz w:val="17"/>
              </w:rPr>
              <w:t>K076</w:t>
            </w:r>
          </w:p>
        </w:tc>
        <w:tc>
          <w:tcPr>
            <w:tcW w:type="dxa" w:w="4651"/>
          </w:tcPr>
          <w:p>
            <w:pPr>
              <w:spacing w:after="40" w:before="20"/>
            </w:pPr>
            <w:r>
              <w:rPr>
                <w:sz w:val="17"/>
              </w:rPr>
              <w:t>Most meetings need no physical co-location</w:t>
            </w:r>
          </w:p>
        </w:tc>
        <w:tc>
          <w:tcPr>
            <w:tcW w:type="dxa" w:w="619"/>
          </w:tcPr>
          <w:p>
            <w:pPr>
              <w:spacing w:after="40" w:before="20"/>
            </w:pPr>
            <w:r>
              <w:rPr>
                <w:sz w:val="17"/>
              </w:rPr>
              <w:t>2019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K077</w:t>
            </w:r>
          </w:p>
        </w:tc>
        <w:tc>
          <w:tcPr>
            <w:tcW w:type="dxa" w:w="4651"/>
          </w:tcPr>
          <w:p>
            <w:pPr>
              <w:spacing w:after="40" w:before="20"/>
            </w:pPr>
            <w:r>
              <w:rPr>
                <w:sz w:val="17"/>
              </w:rPr>
              <w:t>Practical speech translation covers common language pairs</w:t>
            </w:r>
          </w:p>
        </w:tc>
        <w:tc>
          <w:tcPr>
            <w:tcW w:type="dxa" w:w="619"/>
          </w:tcPr>
          <w:p>
            <w:pPr>
              <w:spacing w:after="40" w:before="20"/>
            </w:pPr>
            <w:r>
              <w:rPr>
                <w:sz w:val="17"/>
              </w:rPr>
              <w:t>2019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K078</w:t>
            </w:r>
          </w:p>
        </w:tc>
        <w:tc>
          <w:tcPr>
            <w:tcW w:type="dxa" w:w="4651"/>
          </w:tcPr>
          <w:p>
            <w:pPr>
              <w:spacing w:after="40" w:before="20"/>
            </w:pPr>
            <w:r>
              <w:rPr>
                <w:sz w:val="17"/>
              </w:rPr>
              <w:t>AI tutors deliver most learning</w:t>
            </w:r>
          </w:p>
        </w:tc>
        <w:tc>
          <w:tcPr>
            <w:tcW w:type="dxa" w:w="619"/>
          </w:tcPr>
          <w:p>
            <w:pPr>
              <w:spacing w:after="40" w:before="20"/>
            </w:pPr>
            <w:r>
              <w:rPr>
                <w:sz w:val="17"/>
              </w:rPr>
              <w:t>2019</w:t>
            </w:r>
          </w:p>
        </w:tc>
        <w:tc>
          <w:tcPr>
            <w:tcW w:type="dxa" w:w="893"/>
          </w:tcPr>
          <w:p>
            <w:pPr>
              <w:spacing w:after="40" w:before="20"/>
            </w:pPr>
            <w:r>
              <w:rPr>
                <w:sz w:val="17"/>
              </w:rPr>
              <w:t>No</w:t>
            </w:r>
          </w:p>
        </w:tc>
        <w:tc>
          <w:tcPr>
            <w:tcW w:type="dxa" w:w="893"/>
          </w:tcPr>
          <w:p>
            <w:pPr>
              <w:spacing w:after="40" w:before="20"/>
            </w:pPr>
            <w:r>
              <w:rPr>
                <w:sz w:val="17"/>
              </w:rPr>
              <w:t>No</w:t>
            </w:r>
          </w:p>
        </w:tc>
        <w:tc>
          <w:tcPr>
            <w:tcW w:type="dxa" w:w="1469"/>
          </w:tcPr>
          <w:p>
            <w:pPr>
              <w:spacing w:after="40" w:before="20"/>
            </w:pPr>
            <w:r>
              <w:rPr>
                <w:sz w:val="17"/>
              </w:rPr>
              <w:t>WRONG</w:t>
            </w:r>
          </w:p>
        </w:tc>
      </w:tr>
      <w:tr>
        <w:trPr>
          <w:cantSplit/>
        </w:trPr>
        <w:tc>
          <w:tcPr>
            <w:tcW w:type="dxa" w:w="691"/>
          </w:tcPr>
          <w:p>
            <w:pPr>
              <w:spacing w:after="40" w:before="20"/>
            </w:pPr>
            <w:r>
              <w:rPr>
                <w:sz w:val="17"/>
              </w:rPr>
              <w:t>K079</w:t>
            </w:r>
          </w:p>
        </w:tc>
        <w:tc>
          <w:tcPr>
            <w:tcW w:type="dxa" w:w="4651"/>
          </w:tcPr>
          <w:p>
            <w:pPr>
              <w:spacing w:after="40" w:before="20"/>
            </w:pPr>
            <w:r>
              <w:rPr>
                <w:sz w:val="17"/>
              </w:rPr>
              <w:t>Workers spend most time learning</w:t>
            </w:r>
          </w:p>
        </w:tc>
        <w:tc>
          <w:tcPr>
            <w:tcW w:type="dxa" w:w="619"/>
          </w:tcPr>
          <w:p>
            <w:pPr>
              <w:spacing w:after="40" w:before="20"/>
            </w:pPr>
            <w:r>
              <w:rPr>
                <w:sz w:val="17"/>
              </w:rPr>
              <w:t>2019</w:t>
            </w:r>
          </w:p>
        </w:tc>
        <w:tc>
          <w:tcPr>
            <w:tcW w:type="dxa" w:w="893"/>
          </w:tcPr>
          <w:p>
            <w:pPr>
              <w:spacing w:after="40" w:before="20"/>
            </w:pPr>
            <w:r>
              <w:rPr>
                <w:sz w:val="17"/>
              </w:rPr>
              <w:t>No</w:t>
            </w:r>
          </w:p>
        </w:tc>
        <w:tc>
          <w:tcPr>
            <w:tcW w:type="dxa" w:w="893"/>
          </w:tcPr>
          <w:p>
            <w:pPr>
              <w:spacing w:after="40" w:before="20"/>
            </w:pPr>
            <w:r>
              <w:rPr>
                <w:sz w:val="17"/>
              </w:rPr>
              <w:t>No</w:t>
            </w:r>
          </w:p>
        </w:tc>
        <w:tc>
          <w:tcPr>
            <w:tcW w:type="dxa" w:w="1469"/>
          </w:tcPr>
          <w:p>
            <w:pPr>
              <w:spacing w:after="40" w:before="20"/>
            </w:pPr>
            <w:r>
              <w:rPr>
                <w:sz w:val="17"/>
              </w:rPr>
              <w:t>WRONG</w:t>
            </w:r>
          </w:p>
        </w:tc>
      </w:tr>
      <w:tr>
        <w:trPr>
          <w:cantSplit/>
        </w:trPr>
        <w:tc>
          <w:tcPr>
            <w:tcW w:type="dxa" w:w="691"/>
          </w:tcPr>
          <w:p>
            <w:pPr>
              <w:spacing w:after="40" w:before="20"/>
            </w:pPr>
            <w:r>
              <w:rPr>
                <w:sz w:val="17"/>
              </w:rPr>
              <w:t>K080</w:t>
            </w:r>
          </w:p>
        </w:tc>
        <w:tc>
          <w:tcPr>
            <w:tcW w:type="dxa" w:w="4651"/>
          </w:tcPr>
          <w:p>
            <w:pPr>
              <w:spacing w:after="40" w:before="20"/>
            </w:pPr>
            <w:r>
              <w:rPr>
                <w:sz w:val="17"/>
              </w:rPr>
              <w:t>Reliable household robots become ubiquitous</w:t>
            </w:r>
          </w:p>
        </w:tc>
        <w:tc>
          <w:tcPr>
            <w:tcW w:type="dxa" w:w="619"/>
          </w:tcPr>
          <w:p>
            <w:pPr>
              <w:spacing w:after="40" w:before="20"/>
            </w:pPr>
            <w:r>
              <w:rPr>
                <w:sz w:val="17"/>
              </w:rPr>
              <w:t>2019</w:t>
            </w:r>
          </w:p>
        </w:tc>
        <w:tc>
          <w:tcPr>
            <w:tcW w:type="dxa" w:w="893"/>
          </w:tcPr>
          <w:p>
            <w:pPr>
              <w:spacing w:after="40" w:before="20"/>
            </w:pPr>
            <w:r>
              <w:rPr>
                <w:sz w:val="17"/>
              </w:rPr>
              <w:t>Partial</w:t>
            </w:r>
          </w:p>
        </w:tc>
        <w:tc>
          <w:tcPr>
            <w:tcW w:type="dxa" w:w="893"/>
          </w:tcPr>
          <w:p>
            <w:pPr>
              <w:spacing w:after="40" w:before="20"/>
            </w:pPr>
            <w:r>
              <w:rPr>
                <w:sz w:val="17"/>
              </w:rPr>
              <w:t>Partial</w:t>
            </w:r>
          </w:p>
        </w:tc>
        <w:tc>
          <w:tcPr>
            <w:tcW w:type="dxa" w:w="1469"/>
          </w:tcPr>
          <w:p>
            <w:pPr>
              <w:spacing w:after="40" w:before="20"/>
            </w:pPr>
            <w:r>
              <w:rPr>
                <w:sz w:val="17"/>
              </w:rPr>
              <w:t>PARTIAL</w:t>
            </w:r>
          </w:p>
        </w:tc>
      </w:tr>
      <w:tr>
        <w:trPr>
          <w:cantSplit/>
        </w:trPr>
        <w:tc>
          <w:tcPr>
            <w:tcW w:type="dxa" w:w="691"/>
          </w:tcPr>
          <w:p>
            <w:pPr>
              <w:spacing w:after="40" w:before="20"/>
            </w:pPr>
            <w:r>
              <w:rPr>
                <w:sz w:val="17"/>
              </w:rPr>
              <w:t>K081</w:t>
            </w:r>
          </w:p>
        </w:tc>
        <w:tc>
          <w:tcPr>
            <w:tcW w:type="dxa" w:w="4651"/>
          </w:tcPr>
          <w:p>
            <w:pPr>
              <w:spacing w:after="40" w:before="20"/>
            </w:pPr>
            <w:r>
              <w:rPr>
                <w:sz w:val="17"/>
              </w:rPr>
              <w:t>Transportation accidents become very rare</w:t>
            </w:r>
          </w:p>
        </w:tc>
        <w:tc>
          <w:tcPr>
            <w:tcW w:type="dxa" w:w="619"/>
          </w:tcPr>
          <w:p>
            <w:pPr>
              <w:spacing w:after="40" w:before="20"/>
            </w:pPr>
            <w:r>
              <w:rPr>
                <w:sz w:val="17"/>
              </w:rPr>
              <w:t>2019</w:t>
            </w:r>
          </w:p>
        </w:tc>
        <w:tc>
          <w:tcPr>
            <w:tcW w:type="dxa" w:w="893"/>
          </w:tcPr>
          <w:p>
            <w:pPr>
              <w:spacing w:after="40" w:before="20"/>
            </w:pPr>
            <w:r>
              <w:rPr>
                <w:sz w:val="17"/>
              </w:rPr>
              <w:t>No</w:t>
            </w:r>
          </w:p>
        </w:tc>
        <w:tc>
          <w:tcPr>
            <w:tcW w:type="dxa" w:w="893"/>
          </w:tcPr>
          <w:p>
            <w:pPr>
              <w:spacing w:after="40" w:before="20"/>
            </w:pPr>
            <w:r>
              <w:rPr>
                <w:sz w:val="17"/>
              </w:rPr>
              <w:t>No</w:t>
            </w:r>
          </w:p>
        </w:tc>
        <w:tc>
          <w:tcPr>
            <w:tcW w:type="dxa" w:w="1469"/>
          </w:tcPr>
          <w:p>
            <w:pPr>
              <w:spacing w:after="40" w:before="20"/>
            </w:pPr>
            <w:r>
              <w:rPr>
                <w:sz w:val="17"/>
              </w:rPr>
              <w:t>WRONG</w:t>
            </w:r>
          </w:p>
        </w:tc>
      </w:tr>
      <w:tr>
        <w:trPr>
          <w:cantSplit/>
        </w:trPr>
        <w:tc>
          <w:tcPr>
            <w:tcW w:type="dxa" w:w="691"/>
          </w:tcPr>
          <w:p>
            <w:pPr>
              <w:spacing w:after="40" w:before="20"/>
            </w:pPr>
            <w:r>
              <w:rPr>
                <w:sz w:val="17"/>
              </w:rPr>
              <w:t>K082</w:t>
            </w:r>
          </w:p>
        </w:tc>
        <w:tc>
          <w:tcPr>
            <w:tcW w:type="dxa" w:w="4651"/>
          </w:tcPr>
          <w:p>
            <w:pPr>
              <w:spacing w:after="40" w:before="20"/>
            </w:pPr>
            <w:r>
              <w:rPr>
                <w:sz w:val="17"/>
              </w:rPr>
              <w:t>Human-machine creative collaborations gain recognition</w:t>
            </w:r>
          </w:p>
        </w:tc>
        <w:tc>
          <w:tcPr>
            <w:tcW w:type="dxa" w:w="619"/>
          </w:tcPr>
          <w:p>
            <w:pPr>
              <w:spacing w:after="40" w:before="20"/>
            </w:pPr>
            <w:r>
              <w:rPr>
                <w:sz w:val="17"/>
              </w:rPr>
              <w:t>2019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K083</w:t>
            </w:r>
          </w:p>
        </w:tc>
        <w:tc>
          <w:tcPr>
            <w:tcW w:type="dxa" w:w="4651"/>
          </w:tcPr>
          <w:p>
            <w:pPr>
              <w:spacing w:after="40" w:before="20"/>
            </w:pPr>
            <w:r>
              <w:rPr>
                <w:sz w:val="17"/>
              </w:rPr>
              <w:t>Major aging and cancer mechanisms become understood</w:t>
            </w:r>
          </w:p>
        </w:tc>
        <w:tc>
          <w:tcPr>
            <w:tcW w:type="dxa" w:w="619"/>
          </w:tcPr>
          <w:p>
            <w:pPr>
              <w:spacing w:after="40" w:before="20"/>
            </w:pPr>
            <w:r>
              <w:rPr>
                <w:sz w:val="17"/>
              </w:rPr>
              <w:t>2019</w:t>
            </w:r>
          </w:p>
        </w:tc>
        <w:tc>
          <w:tcPr>
            <w:tcW w:type="dxa" w:w="893"/>
          </w:tcPr>
          <w:p>
            <w:pPr>
              <w:spacing w:after="40" w:before="20"/>
            </w:pPr>
            <w:r>
              <w:rPr>
                <w:sz w:val="17"/>
              </w:rPr>
              <w:t>Full</w:t>
            </w:r>
          </w:p>
        </w:tc>
        <w:tc>
          <w:tcPr>
            <w:tcW w:type="dxa" w:w="893"/>
          </w:tcPr>
          <w:p>
            <w:pPr>
              <w:spacing w:after="40" w:before="20"/>
            </w:pPr>
            <w:r>
              <w:rPr>
                <w:sz w:val="17"/>
              </w:rPr>
              <w:t>Full</w:t>
            </w:r>
          </w:p>
        </w:tc>
        <w:tc>
          <w:tcPr>
            <w:tcW w:type="dxa" w:w="1469"/>
          </w:tcPr>
          <w:p>
            <w:pPr>
              <w:spacing w:after="40" w:before="20"/>
            </w:pPr>
            <w:r>
              <w:rPr>
                <w:sz w:val="17"/>
              </w:rPr>
              <w:t>CORRECT</w:t>
            </w:r>
          </w:p>
        </w:tc>
      </w:tr>
      <w:tr>
        <w:trPr>
          <w:cantSplit/>
        </w:trPr>
        <w:tc>
          <w:tcPr>
            <w:tcW w:type="dxa" w:w="691"/>
          </w:tcPr>
          <w:p>
            <w:pPr>
              <w:spacing w:after="40" w:before="20"/>
            </w:pPr>
            <w:r>
              <w:rPr>
                <w:sz w:val="17"/>
              </w:rPr>
              <w:t>K084</w:t>
            </w:r>
          </w:p>
        </w:tc>
        <w:tc>
          <w:tcPr>
            <w:tcW w:type="dxa" w:w="4651"/>
          </w:tcPr>
          <w:p>
            <w:pPr>
              <w:spacing w:after="40" w:before="20"/>
            </w:pPr>
            <w:r>
              <w:rPr>
                <w:sz w:val="17"/>
              </w:rPr>
              <w:t>Simulated people mediate nearly all transactions</w:t>
            </w:r>
          </w:p>
        </w:tc>
        <w:tc>
          <w:tcPr>
            <w:tcW w:type="dxa" w:w="619"/>
          </w:tcPr>
          <w:p>
            <w:pPr>
              <w:spacing w:after="40" w:before="20"/>
            </w:pPr>
            <w:r>
              <w:rPr>
                <w:sz w:val="17"/>
              </w:rPr>
              <w:t>2019</w:t>
            </w:r>
          </w:p>
        </w:tc>
        <w:tc>
          <w:tcPr>
            <w:tcW w:type="dxa" w:w="893"/>
          </w:tcPr>
          <w:p>
            <w:pPr>
              <w:spacing w:after="40" w:before="20"/>
            </w:pPr>
            <w:r>
              <w:rPr>
                <w:sz w:val="17"/>
              </w:rPr>
              <w:t>No</w:t>
            </w:r>
          </w:p>
        </w:tc>
        <w:tc>
          <w:tcPr>
            <w:tcW w:type="dxa" w:w="893"/>
          </w:tcPr>
          <w:p>
            <w:pPr>
              <w:spacing w:after="40" w:before="20"/>
            </w:pPr>
            <w:r>
              <w:rPr>
                <w:sz w:val="17"/>
              </w:rPr>
              <w:t>Partial</w:t>
            </w:r>
          </w:p>
        </w:tc>
        <w:tc>
          <w:tcPr>
            <w:tcW w:type="dxa" w:w="1469"/>
          </w:tcPr>
          <w:p>
            <w:pPr>
              <w:spacing w:after="40" w:before="20"/>
            </w:pPr>
            <w:r>
              <w:rPr>
                <w:sz w:val="17"/>
              </w:rPr>
              <w:t>PARTIAL</w:t>
            </w:r>
          </w:p>
        </w:tc>
      </w:tr>
    </w:tbl>
    <w:p>
      <w:r>
        <w:t>Forecast source: selected sections of the author-adapted article [P02] and the retrospective [P01]. These are paraphrased standalone clauses, not a claim that every sentence in either source has been extracted. Outcome evidence is independently linked per record.</w:t>
      </w:r>
    </w:p>
    <w:p>
      <w:r>
        <w:br w:type="page"/>
      </w:r>
    </w:p>
    <w:p>
      <w:pPr>
        <w:pStyle w:val="Title"/>
      </w:pPr>
      <w:r>
        <w:t>5 / Integrating this into the site</w:t>
      </w:r>
    </w:p>
    <w:p>
      <w:r>
        <w:t>Update data, not just labels. Replace K001–K050 in place and add K051–K084. Preserve original intake rows, aliases and revision history. Do not append an additional 84 records on top of the existing 50.</w:t>
      </w:r>
    </w:p>
    <w:p>
      <w:pPr>
        <w:pStyle w:val="Heading2"/>
      </w:pPr>
      <w:r>
        <w:t>Make three distinctions visible</w:t>
      </w:r>
    </w:p>
    <w:p>
      <w:r>
        <w:t>Show “At original deadline” beside “By review,” with the reference verdict as the headline. Add a reference / strict-alternative / broader control, and show what changes in the criterion. Keep attribution and timing confidence independent of the verdict.</w:t>
      </w:r>
    </w:p>
    <w:p>
      <w:r>
        <w:t>Allow completed editorial assessments to appear in the scorecard even when the original edition is not yet collated. Conditional legacy assessments should appear with an attribution warning, not as verified author statements or extra observations in the denominator.</w:t>
      </w:r>
    </w:p>
    <w:p>
      <w:pPr>
        <w:pStyle w:val="Heading2"/>
      </w:pPr>
      <w:r>
        <w:t>Tests that should now pass</w:t>
      </w:r>
    </w:p>
    <w:tbl>
      <w:tblPr>
        <w:tblStyle w:val="LightShading-Accent1"/>
        <w:tblW w:type="auto" w:w="0"/>
        <w:tblLayout w:type="fixed"/>
        <w:tblLook w:firstColumn="1" w:firstRow="1" w:lastColumn="0" w:lastRow="0" w:noHBand="0" w:noVBand="1" w:val="04A0"/>
      </w:tblPr>
      <w:tblGrid>
        <w:gridCol w:w="7056"/>
        <w:gridCol w:w="2592"/>
      </w:tblGrid>
      <w:tr>
        <w:trPr>
          <w:tblHeader w:val="true"/>
          <w:cantSplit/>
        </w:trPr>
        <w:tc>
          <w:tcPr>
            <w:tcW w:type="dxa" w:w="7056"/>
            <w:shd w:fill="304D3C"/>
          </w:tcPr>
          <w:p>
            <w:pPr>
              <w:spacing w:after="80" w:before="40"/>
            </w:pPr>
            <w:r>
              <w:rPr>
                <w:b/>
                <w:color w:val="FFFFFF"/>
                <w:sz w:val="19"/>
              </w:rPr>
              <w:t>Check</w:t>
            </w:r>
          </w:p>
        </w:tc>
        <w:tc>
          <w:tcPr>
            <w:tcW w:type="dxa" w:w="2592"/>
            <w:shd w:fill="304D3C"/>
          </w:tcPr>
          <w:p>
            <w:pPr>
              <w:spacing w:after="80" w:before="40"/>
            </w:pPr>
            <w:r>
              <w:rPr>
                <w:b/>
                <w:color w:val="FFFFFF"/>
                <w:sz w:val="19"/>
              </w:rPr>
              <w:t>Expected</w:t>
            </w:r>
          </w:p>
        </w:tc>
      </w:tr>
      <w:tr>
        <w:trPr>
          <w:cantSplit/>
        </w:trPr>
        <w:tc>
          <w:tcPr>
            <w:tcW w:type="dxa" w:w="7056"/>
          </w:tcPr>
          <w:p>
            <w:pPr>
              <w:spacing w:after="80" w:before="40"/>
            </w:pPr>
            <w:r>
              <w:rPr>
                <w:sz w:val="19"/>
              </w:rPr>
              <w:t>Canonical count / newly added</w:t>
            </w:r>
          </w:p>
        </w:tc>
        <w:tc>
          <w:tcPr>
            <w:tcW w:type="dxa" w:w="2592"/>
          </w:tcPr>
          <w:p>
            <w:pPr>
              <w:spacing w:after="80" w:before="40"/>
            </w:pPr>
            <w:r>
              <w:rPr>
                <w:sz w:val="19"/>
              </w:rPr>
              <w:t>84 / 34</w:t>
            </w:r>
          </w:p>
        </w:tc>
      </w:tr>
      <w:tr>
        <w:trPr>
          <w:cantSplit/>
        </w:trPr>
        <w:tc>
          <w:tcPr>
            <w:tcW w:type="dxa" w:w="7056"/>
          </w:tcPr>
          <w:p>
            <w:pPr>
              <w:spacing w:after="80" w:before="40"/>
            </w:pPr>
            <w:r>
              <w:rPr>
                <w:sz w:val="19"/>
              </w:rPr>
              <w:t>All original intake IDs reconciled</w:t>
            </w:r>
          </w:p>
        </w:tc>
        <w:tc>
          <w:tcPr>
            <w:tcW w:type="dxa" w:w="2592"/>
          </w:tcPr>
          <w:p>
            <w:pPr>
              <w:spacing w:after="80" w:before="40"/>
            </w:pPr>
            <w:r>
              <w:rPr>
                <w:sz w:val="19"/>
              </w:rPr>
              <w:t>88</w:t>
            </w:r>
          </w:p>
        </w:tc>
      </w:tr>
      <w:tr>
        <w:trPr>
          <w:cantSplit/>
        </w:trPr>
        <w:tc>
          <w:tcPr>
            <w:tcW w:type="dxa" w:w="7056"/>
          </w:tcPr>
          <w:p>
            <w:pPr>
              <w:spacing w:after="80" w:before="40"/>
            </w:pPr>
            <w:r>
              <w:rPr>
                <w:sz w:val="19"/>
              </w:rPr>
              <w:t>Past-due reference count</w:t>
            </w:r>
          </w:p>
        </w:tc>
        <w:tc>
          <w:tcPr>
            <w:tcW w:type="dxa" w:w="2592"/>
          </w:tcPr>
          <w:p>
            <w:pPr>
              <w:spacing w:after="80" w:before="40"/>
            </w:pPr>
            <w:r>
              <w:rPr>
                <w:sz w:val="19"/>
              </w:rPr>
              <w:t>68</w:t>
            </w:r>
          </w:p>
        </w:tc>
      </w:tr>
      <w:tr>
        <w:trPr>
          <w:cantSplit/>
        </w:trPr>
        <w:tc>
          <w:tcPr>
            <w:tcW w:type="dxa" w:w="7056"/>
          </w:tcPr>
          <w:p>
            <w:pPr>
              <w:spacing w:after="80" w:before="40"/>
            </w:pPr>
            <w:r>
              <w:rPr>
                <w:sz w:val="19"/>
              </w:rPr>
              <w:t>On time / fully realized by review</w:t>
            </w:r>
          </w:p>
        </w:tc>
        <w:tc>
          <w:tcPr>
            <w:tcW w:type="dxa" w:w="2592"/>
          </w:tcPr>
          <w:p>
            <w:pPr>
              <w:spacing w:after="80" w:before="40"/>
            </w:pPr>
            <w:r>
              <w:rPr>
                <w:sz w:val="19"/>
              </w:rPr>
              <w:t>25 / 36</w:t>
            </w:r>
          </w:p>
        </w:tc>
      </w:tr>
      <w:tr>
        <w:trPr>
          <w:cantSplit/>
        </w:trPr>
        <w:tc>
          <w:tcPr>
            <w:tcW w:type="dxa" w:w="7056"/>
          </w:tcPr>
          <w:p>
            <w:pPr>
              <w:spacing w:after="80" w:before="40"/>
            </w:pPr>
            <w:r>
              <w:rPr>
                <w:sz w:val="19"/>
              </w:rPr>
              <w:t>Reference partial / wrong in mature cohort</w:t>
            </w:r>
          </w:p>
        </w:tc>
        <w:tc>
          <w:tcPr>
            <w:tcW w:type="dxa" w:w="2592"/>
          </w:tcPr>
          <w:p>
            <w:pPr>
              <w:spacing w:after="80" w:before="40"/>
            </w:pPr>
            <w:r>
              <w:rPr>
                <w:sz w:val="19"/>
              </w:rPr>
              <w:t>16 / 16</w:t>
            </w:r>
          </w:p>
        </w:tc>
      </w:tr>
      <w:tr>
        <w:trPr>
          <w:cantSplit/>
        </w:trPr>
        <w:tc>
          <w:tcPr>
            <w:tcW w:type="dxa" w:w="7056"/>
          </w:tcPr>
          <w:p>
            <w:pPr>
              <w:spacing w:after="80" w:before="40"/>
            </w:pPr>
            <w:r>
              <w:rPr>
                <w:sz w:val="19"/>
              </w:rPr>
              <w:t>Future / undated</w:t>
            </w:r>
          </w:p>
        </w:tc>
        <w:tc>
          <w:tcPr>
            <w:tcW w:type="dxa" w:w="2592"/>
          </w:tcPr>
          <w:p>
            <w:pPr>
              <w:spacing w:after="80" w:before="40"/>
            </w:pPr>
            <w:r>
              <w:rPr>
                <w:sz w:val="19"/>
              </w:rPr>
              <w:t>14 / 2</w:t>
            </w:r>
          </w:p>
        </w:tc>
      </w:tr>
      <w:tr>
        <w:trPr>
          <w:cantSplit/>
        </w:trPr>
        <w:tc>
          <w:tcPr>
            <w:tcW w:type="dxa" w:w="7056"/>
          </w:tcPr>
          <w:p>
            <w:pPr>
              <w:spacing w:after="80" w:before="40"/>
            </w:pPr>
            <w:r>
              <w:rPr>
                <w:sz w:val="19"/>
              </w:rPr>
              <w:t>Strict native denominator / equal comparison cohort</w:t>
            </w:r>
          </w:p>
        </w:tc>
        <w:tc>
          <w:tcPr>
            <w:tcW w:type="dxa" w:w="2592"/>
          </w:tcPr>
          <w:p>
            <w:pPr>
              <w:spacing w:after="80" w:before="40"/>
            </w:pPr>
            <w:r>
              <w:rPr>
                <w:sz w:val="19"/>
              </w:rPr>
              <w:t>67 / 67</w:t>
            </w:r>
          </w:p>
        </w:tc>
      </w:tr>
    </w:tbl>
    <w:p>
      <w:r>
        <w:t>K036 is the material deadline exception. The reference uses 2025 for “mid-2020s”; the alternative permits December 2026 and remains pending. Use the supplied equal 67-record cohort when comparing the interpretation modes. Native mode totals otherwise differ by one.</w:t>
      </w:r>
    </w:p>
    <w:p>
      <w:pPr>
        <w:pStyle w:val="Heading2"/>
      </w:pPr>
      <w:r>
        <w:t>Files your agent needs</w:t>
      </w:r>
    </w:p>
    <w:p>
      <w:r>
        <w:t>Start with README_AGENT_HANDOFF.md. Canonical JSON and source JSON drive the site; reconciliation JSON maintains the old routes and conditional outcomes. metrics.v0.3.json provides test expectations. The workbook is for review, not the runtime source of truth. Run validate_v03.py before importing.</w:t>
      </w:r>
    </w:p>
    <w:p>
      <w:r>
        <w:t>A source-matched subset is not a representative lifetime sample. Do not display its percentage as “Kurzweil is X% accurate.” Complete-source coverage, question difficulty, forecast horizon and duplicate-family weighting still matter to that broader claim.</w:t>
      </w:r>
    </w:p>
    <w:p>
      <w:r>
        <w:br w:type="page"/>
      </w:r>
    </w:p>
    <w:p>
      <w:pPr>
        <w:pStyle w:val="Title"/>
      </w:pPr>
      <w:r>
        <w:t>6 / Selected evidence references</w:t>
      </w:r>
    </w:p>
    <w:p>
      <w:r>
        <w:t>The dossier cites the full catalogue of 98 used sources. The following support the examples and important interpretation changes in this supplement. Original-book collation is still separate from source-matched outcome assessment.</w:t>
      </w:r>
    </w:p>
    <w:p>
      <w:pPr>
        <w:spacing w:after="140" w:line="240" w:lineRule="auto"/>
      </w:pPr>
      <w:r>
        <w:rPr>
          <w:b/>
          <w:sz w:val="18"/>
        </w:rPr>
        <w:t>[P01] How My Predictions Are Faring — Ray Kurzweil</w:t>
        <w:br/>
      </w:r>
      <w:r>
        <w:rPr>
          <w:color w:val="365C46"/>
          <w:sz w:val="16"/>
        </w:rPr>
        <w:t>https://www.thekurzweillibrary.com/images/How-My-Predictions-Are-Faring.pdf</w:t>
      </w:r>
    </w:p>
    <w:p>
      <w:pPr>
        <w:spacing w:after="140" w:line="240" w:lineRule="auto"/>
      </w:pPr>
      <w:r>
        <w:rPr>
          <w:b/>
          <w:sz w:val="18"/>
        </w:rPr>
        <w:t>[P02] Spiritual Machines: The Merging of Man and Machine — Ray Kurzweil</w:t>
        <w:br/>
      </w:r>
      <w:r>
        <w:rPr>
          <w:color w:val="365C46"/>
          <w:sz w:val="16"/>
        </w:rPr>
        <w:t>https://iranscope.ghandchi.com/Anthology/Kurzweil-SM.htm</w:t>
      </w:r>
    </w:p>
    <w:p>
      <w:pPr>
        <w:spacing w:after="140" w:line="240" w:lineRule="auto"/>
      </w:pPr>
      <w:r>
        <w:rPr>
          <w:b/>
          <w:sz w:val="18"/>
        </w:rPr>
        <w:t>[O01] IBM — Deep Blue</w:t>
        <w:br/>
      </w:r>
      <w:r>
        <w:rPr>
          <w:color w:val="365C46"/>
          <w:sz w:val="16"/>
        </w:rPr>
        <w:t>https://www.ibm.com/history/deep-blue</w:t>
      </w:r>
    </w:p>
    <w:p>
      <w:pPr>
        <w:spacing w:after="140" w:line="240" w:lineRule="auto"/>
      </w:pPr>
      <w:r>
        <w:rPr>
          <w:b/>
          <w:sz w:val="18"/>
        </w:rPr>
        <w:t>[N01] Pew: About one-in-five Americans use a smartwatch or fitness tracker</w:t>
        <w:br/>
      </w:r>
      <w:r>
        <w:rPr>
          <w:color w:val="365C46"/>
          <w:sz w:val="16"/>
        </w:rPr>
        <w:t>https://www.pewresearch.org/short-reads/2020/01/09/about-one-in-five-americans-use-a-smart-watch-or-fitness-tracker/</w:t>
      </w:r>
    </w:p>
    <w:p>
      <w:pPr>
        <w:spacing w:after="140" w:line="240" w:lineRule="auto"/>
      </w:pPr>
      <w:r>
        <w:rPr>
          <w:b/>
          <w:sz w:val="18"/>
        </w:rPr>
        <w:t>[N25] Apple: Watch Series 4 health, ECG and fall detection</w:t>
        <w:br/>
      </w:r>
      <w:r>
        <w:rPr>
          <w:color w:val="365C46"/>
          <w:sz w:val="16"/>
        </w:rPr>
        <w:t>https://www.apple.com/newsroom/2018/09/redesigned-apple-watch-series-4-revolutionizes-communication-fitness-and-health/</w:t>
      </w:r>
    </w:p>
    <w:p>
      <w:pPr>
        <w:spacing w:after="140" w:line="240" w:lineRule="auto"/>
      </w:pPr>
      <w:r>
        <w:rPr>
          <w:b/>
          <w:sz w:val="18"/>
        </w:rPr>
        <w:t>[N71] Apple: Live Translation shipping in iOS 26</w:t>
        <w:br/>
      </w:r>
      <w:r>
        <w:rPr>
          <w:color w:val="365C46"/>
          <w:sz w:val="16"/>
        </w:rPr>
        <w:t>https://www.apple.com/ci/newsroom/2025/09/new-apple-intelligence-features-are-available-today/</w:t>
      </w:r>
    </w:p>
    <w:p>
      <w:pPr>
        <w:spacing w:after="140" w:line="240" w:lineRule="auto"/>
      </w:pPr>
      <w:r>
        <w:rPr>
          <w:b/>
          <w:sz w:val="18"/>
        </w:rPr>
        <w:t>[N54] AMD: 2008 teraFLOPS graphics launch, issuer release reproduced</w:t>
        <w:br/>
      </w:r>
      <w:r>
        <w:rPr>
          <w:color w:val="365C46"/>
          <w:sz w:val="16"/>
        </w:rPr>
        <w:t>https://xtremehardware.com/news/1524-amd-introduce-il-primo-chip-grafico-al-mondo-di-classe-teraflops</w:t>
      </w:r>
    </w:p>
    <w:p>
      <w:pPr>
        <w:spacing w:after="140" w:line="240" w:lineRule="auto"/>
      </w:pPr>
      <w:r>
        <w:rPr>
          <w:b/>
          <w:sz w:val="18"/>
        </w:rPr>
        <w:t>[N17] ONC: National trends in hospital and physician EHR adoption</w:t>
        <w:br/>
      </w:r>
      <w:r>
        <w:rPr>
          <w:color w:val="365C46"/>
          <w:sz w:val="16"/>
        </w:rPr>
        <w:t>https://healthit.gov/data/quickstats/national-trends-hospital-and-physician-adoption-electronic-health-records/</w:t>
      </w:r>
    </w:p>
    <w:p>
      <w:pPr>
        <w:spacing w:after="140" w:line="240" w:lineRule="auto"/>
      </w:pPr>
      <w:r>
        <w:rPr>
          <w:b/>
          <w:sz w:val="18"/>
        </w:rPr>
        <w:t>[O17] Mortality in the United States, 2024 — CDC Data Brief 548</w:t>
        <w:br/>
      </w:r>
      <w:r>
        <w:rPr>
          <w:color w:val="365C46"/>
          <w:sz w:val="16"/>
        </w:rPr>
        <w:t>https://www.cdc.gov/nchs/products/databriefs/db548.htm</w:t>
      </w:r>
    </w:p>
    <w:p>
      <w:pPr>
        <w:spacing w:after="140" w:line="240" w:lineRule="auto"/>
      </w:pPr>
      <w:r>
        <w:rPr>
          <w:b/>
          <w:sz w:val="18"/>
        </w:rPr>
        <w:t>[N38] López-Otín et al.: The Hallmarks of Aging</w:t>
        <w:br/>
      </w:r>
      <w:r>
        <w:rPr>
          <w:color w:val="365C46"/>
          <w:sz w:val="16"/>
        </w:rPr>
        <w:t>https://doi.org/10.1016/j.cell.2013.05.039</w:t>
      </w:r>
    </w:p>
    <w:p>
      <w:pPr>
        <w:spacing w:after="140" w:line="240" w:lineRule="auto"/>
      </w:pPr>
      <w:r>
        <w:rPr>
          <w:b/>
          <w:sz w:val="18"/>
        </w:rPr>
        <w:t>[N39] NCI/TCGA: Molecular classification of 10,000 tumors</w:t>
        <w:br/>
      </w:r>
      <w:r>
        <w:rPr>
          <w:color w:val="365C46"/>
          <w:sz w:val="16"/>
        </w:rPr>
        <w:t>https://gdc.cancer.gov/about-data/publications/PanCan-CellOfOrigin</w:t>
      </w:r>
    </w:p>
    <w:p>
      <w:pPr>
        <w:spacing w:after="140" w:line="240" w:lineRule="auto"/>
      </w:pPr>
      <w:r>
        <w:rPr>
          <w:b/>
          <w:sz w:val="18"/>
        </w:rPr>
        <w:t>[N40] López-Otín et al.: Hallmarks of aging, an expanding universe</w:t>
        <w:br/>
      </w:r>
      <w:r>
        <w:rPr>
          <w:color w:val="365C46"/>
          <w:sz w:val="16"/>
        </w:rPr>
        <w:t>https://pubmed.ncbi.nlm.nih.gov/36599349/</w:t>
      </w:r>
    </w:p>
    <w:p>
      <w:r>
        <w:t>Evidence note: issuer product releases establish an offered capability, not population-wide uptake. Survey and administrative data provide adoption evidence for their stated populations. Medical and biological papers establish the research findings described, not a cure or complete explanatory model.</w:t>
      </w:r>
    </w:p>
    <w:sectPr w:rsidR="00FC693F" w:rsidRPr="0006063C" w:rsidSect="00034616">
      <w:headerReference w:type="default" r:id="rId9"/>
      <w:footerReference w:type="default" r:id="rId10"/>
      <w:pgSz w:w="12240" w:h="15840"/>
      <w:pgMar w:top="936" w:right="936" w:bottom="936"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15 October 2026  •  Outcome review v0.3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6356"/>
      </w:rPr>
      <w:t>THE KURZWEIL SCORECARD   /   EVIDENCE UPDATE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304D3C"/>
      <w:sz w:val="4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304D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80"/>
      <w:contextualSpacing/>
    </w:pPr>
    <w:rPr>
      <w:rFonts w:asciiTheme="majorHAnsi" w:eastAsiaTheme="majorEastAsia" w:hAnsiTheme="majorHAnsi" w:cstheme="majorBidi" w:ascii="Calibri" w:hAnsi="Calibri"/>
      <w:color w:val="304D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