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RESEARCH RELEASE 02</w:t>
      </w:r>
    </w:p>
    <w:p>
      <w:pPr>
        <w:pStyle w:val="Title"/>
      </w:pPr>
      <w:r>
        <w:t>Verification supplement</w:t>
      </w:r>
    </w:p>
    <w:p>
      <w:pPr>
        <w:pStyle w:val="Subtitle"/>
      </w:pPr>
      <w:r>
        <w:t>A source-backed data handoff for the existing Kurzweil scorecard website.</w:t>
      </w:r>
    </w:p>
    <w:p>
      <w:r>
        <w:t>The site can now display supported editorial assessments instead of treating every row as an unreviewed lead. This release does not finish the lifetime audit, and it must not be advertised as one.</w:t>
      </w:r>
    </w:p>
    <w:tbl>
      <w:tblPr>
        <w:tblW w:type="auto" w:w="0"/>
        <w:tblLayout w:type="fixed"/>
        <w:tblLook w:firstColumn="1" w:firstRow="1" w:lastColumn="0" w:lastRow="0" w:noHBand="0" w:noVBand="1" w:val="04A0"/>
      </w:tblPr>
      <w:tblGrid>
        <w:gridCol w:w="8352"/>
        <w:gridCol w:w="1800"/>
      </w:tblGrid>
      <w:tr>
        <w:trPr>
          <w:tblHeader/>
          <w:cantSplit/>
        </w:trPr>
        <w:tc>
          <w:tcPr>
            <w:tcW w:type="dxa" w:w="8352"/>
            <w:shd w:fill="E7EDE5"/>
            <w:tcMar>
              <w:top w:w="55" w:type="dxa"/>
              <w:bottom w:w="55" w:type="dxa"/>
            </w:tcMar>
          </w:tcPr>
          <w:p>
            <w:pPr>
              <w:spacing w:after="40" w:before="20" w:line="240" w:lineRule="auto"/>
            </w:pPr>
            <w:r>
              <w:rPr>
                <w:b/>
                <w:sz w:val="20"/>
              </w:rPr>
              <w:t>What is included</w:t>
            </w:r>
          </w:p>
        </w:tc>
        <w:tc>
          <w:tcPr>
            <w:tcW w:type="dxa" w:w="1800"/>
            <w:shd w:fill="E7EDE5"/>
            <w:tcMar>
              <w:top w:w="55" w:type="dxa"/>
              <w:bottom w:w="55" w:type="dxa"/>
            </w:tcMar>
          </w:tcPr>
          <w:p>
            <w:pPr>
              <w:spacing w:after="40" w:before="20" w:line="240" w:lineRule="auto"/>
            </w:pPr>
            <w:r>
              <w:rPr>
                <w:b/>
                <w:sz w:val="20"/>
              </w:rPr>
              <w:t>Count</w:t>
            </w:r>
          </w:p>
        </w:tc>
      </w:tr>
      <w:tr>
        <w:trPr>
          <w:cantSplit/>
        </w:trPr>
        <w:tc>
          <w:tcPr>
            <w:tcW w:type="dxa" w:w="8352"/>
            <w:tcMar>
              <w:top w:w="55" w:type="dxa"/>
              <w:bottom w:w="55" w:type="dxa"/>
            </w:tcMar>
          </w:tcPr>
          <w:p>
            <w:pPr>
              <w:spacing w:after="40" w:before="20" w:line="240" w:lineRule="auto"/>
            </w:pPr>
            <w:r>
              <w:rPr>
                <w:sz w:val="20"/>
              </w:rPr>
              <w:t>Original intake IDs reconciled</w:t>
            </w:r>
          </w:p>
        </w:tc>
        <w:tc>
          <w:tcPr>
            <w:tcW w:type="dxa" w:w="1800"/>
            <w:tcMar>
              <w:top w:w="55" w:type="dxa"/>
              <w:bottom w:w="55" w:type="dxa"/>
            </w:tcMar>
          </w:tcPr>
          <w:p>
            <w:pPr>
              <w:spacing w:after="40" w:before="20" w:line="240" w:lineRule="auto"/>
            </w:pPr>
            <w:r>
              <w:rPr>
                <w:sz w:val="20"/>
              </w:rPr>
              <w:t>88 / 88</w:t>
            </w:r>
          </w:p>
        </w:tc>
      </w:tr>
      <w:tr>
        <w:trPr>
          <w:cantSplit/>
        </w:trPr>
        <w:tc>
          <w:tcPr>
            <w:tcW w:type="dxa" w:w="8352"/>
            <w:tcMar>
              <w:top w:w="55" w:type="dxa"/>
              <w:bottom w:w="55" w:type="dxa"/>
            </w:tcMar>
          </w:tcPr>
          <w:p>
            <w:pPr>
              <w:spacing w:after="40" w:before="20" w:line="240" w:lineRule="auto"/>
            </w:pPr>
            <w:r>
              <w:rPr>
                <w:sz w:val="20"/>
              </w:rPr>
              <w:t>Curated forecast/version records</w:t>
            </w:r>
          </w:p>
        </w:tc>
        <w:tc>
          <w:tcPr>
            <w:tcW w:type="dxa" w:w="1800"/>
            <w:tcMar>
              <w:top w:w="55" w:type="dxa"/>
              <w:bottom w:w="55" w:type="dxa"/>
            </w:tcMar>
          </w:tcPr>
          <w:p>
            <w:pPr>
              <w:spacing w:after="40" w:before="20" w:line="240" w:lineRule="auto"/>
            </w:pPr>
            <w:r>
              <w:rPr>
                <w:sz w:val="20"/>
              </w:rPr>
              <w:t>50</w:t>
            </w:r>
          </w:p>
        </w:tc>
      </w:tr>
      <w:tr>
        <w:trPr>
          <w:cantSplit/>
        </w:trPr>
        <w:tc>
          <w:tcPr>
            <w:tcW w:type="dxa" w:w="8352"/>
            <w:tcMar>
              <w:top w:w="55" w:type="dxa"/>
              <w:bottom w:w="55" w:type="dxa"/>
            </w:tcMar>
          </w:tcPr>
          <w:p>
            <w:pPr>
              <w:spacing w:after="40" w:before="20" w:line="240" w:lineRule="auto"/>
            </w:pPr>
            <w:r>
              <w:rPr>
                <w:sz w:val="20"/>
              </w:rPr>
              <w:t>Editorial assessments, including future and unscorable claims</w:t>
            </w:r>
          </w:p>
        </w:tc>
        <w:tc>
          <w:tcPr>
            <w:tcW w:type="dxa" w:w="1800"/>
            <w:tcMar>
              <w:top w:w="55" w:type="dxa"/>
              <w:bottom w:w="55" w:type="dxa"/>
            </w:tcMar>
          </w:tcPr>
          <w:p>
            <w:pPr>
              <w:spacing w:after="40" w:before="20" w:line="240" w:lineRule="auto"/>
            </w:pPr>
            <w:r>
              <w:rPr>
                <w:sz w:val="20"/>
              </w:rPr>
              <w:t>34</w:t>
            </w:r>
          </w:p>
        </w:tc>
      </w:tr>
      <w:tr>
        <w:trPr>
          <w:cantSplit/>
        </w:trPr>
        <w:tc>
          <w:tcPr>
            <w:tcW w:type="dxa" w:w="8352"/>
            <w:tcMar>
              <w:top w:w="55" w:type="dxa"/>
              <w:bottom w:w="55" w:type="dxa"/>
            </w:tcMar>
          </w:tcPr>
          <w:p>
            <w:pPr>
              <w:spacing w:after="40" w:before="20" w:line="240" w:lineRule="auto"/>
            </w:pPr>
            <w:r>
              <w:rPr>
                <w:sz w:val="20"/>
              </w:rPr>
              <w:t>Source-confirmed but ungraded / attribution unresolved</w:t>
            </w:r>
          </w:p>
        </w:tc>
        <w:tc>
          <w:tcPr>
            <w:tcW w:type="dxa" w:w="1800"/>
            <w:tcMar>
              <w:top w:w="55" w:type="dxa"/>
              <w:bottom w:w="55" w:type="dxa"/>
            </w:tcMar>
          </w:tcPr>
          <w:p>
            <w:pPr>
              <w:spacing w:after="40" w:before="20" w:line="240" w:lineRule="auto"/>
            </w:pPr>
            <w:r>
              <w:rPr>
                <w:sz w:val="20"/>
              </w:rPr>
              <w:t>15 / 1</w:t>
            </w:r>
          </w:p>
        </w:tc>
      </w:tr>
      <w:tr>
        <w:trPr>
          <w:cantSplit/>
        </w:trPr>
        <w:tc>
          <w:tcPr>
            <w:tcW w:type="dxa" w:w="8352"/>
            <w:tcMar>
              <w:top w:w="55" w:type="dxa"/>
              <w:bottom w:w="55" w:type="dxa"/>
            </w:tcMar>
          </w:tcPr>
          <w:p>
            <w:pPr>
              <w:spacing w:after="40" w:before="20" w:line="240" w:lineRule="auto"/>
            </w:pPr>
            <w:r>
              <w:rPr>
                <w:sz w:val="20"/>
              </w:rPr>
              <w:t>Due forecasts eligible for the default reviewed subset</w:t>
            </w:r>
          </w:p>
        </w:tc>
        <w:tc>
          <w:tcPr>
            <w:tcW w:type="dxa" w:w="1800"/>
            <w:tcMar>
              <w:top w:w="55" w:type="dxa"/>
              <w:bottom w:w="55" w:type="dxa"/>
            </w:tcMar>
          </w:tcPr>
          <w:p>
            <w:pPr>
              <w:spacing w:after="40" w:before="20" w:line="240" w:lineRule="auto"/>
            </w:pPr>
            <w:r>
              <w:rPr>
                <w:sz w:val="20"/>
              </w:rPr>
              <w:t>13</w:t>
            </w:r>
          </w:p>
        </w:tc>
      </w:tr>
      <w:tr>
        <w:trPr>
          <w:cantSplit/>
        </w:trPr>
        <w:tc>
          <w:tcPr>
            <w:tcW w:type="dxa" w:w="8352"/>
            <w:tcMar>
              <w:top w:w="55" w:type="dxa"/>
              <w:bottom w:w="55" w:type="dxa"/>
            </w:tcMar>
          </w:tcPr>
          <w:p>
            <w:pPr>
              <w:spacing w:after="40" w:before="20" w:line="240" w:lineRule="auto"/>
            </w:pPr>
            <w:r>
              <w:rPr>
                <w:sz w:val="20"/>
              </w:rPr>
              <w:t>Source catalogue entries</w:t>
            </w:r>
          </w:p>
        </w:tc>
        <w:tc>
          <w:tcPr>
            <w:tcW w:type="dxa" w:w="1800"/>
            <w:tcMar>
              <w:top w:w="55" w:type="dxa"/>
              <w:bottom w:w="55" w:type="dxa"/>
            </w:tcMar>
          </w:tcPr>
          <w:p>
            <w:pPr>
              <w:spacing w:after="40" w:before="20" w:line="240" w:lineRule="auto"/>
            </w:pPr>
            <w:r>
              <w:rPr>
                <w:sz w:val="20"/>
              </w:rPr>
              <w:t>32</w:t>
            </w:r>
          </w:p>
        </w:tc>
      </w:tr>
    </w:tbl>
    <w:p>
      <w:pPr>
        <w:pStyle w:val="Heading2"/>
      </w:pPr>
      <w:r>
        <w:t>What changed</w:t>
      </w:r>
    </w:p>
    <w:p>
      <w:r>
        <w:t>The original records have been checked for attribution, scope, dates and duplicate relationships. Some can be scored now; others need a corrected claim, a split into separate forecasts, or quarantine because their original wording was never substantiated. The raw v0.1 intake remains unchanged.</w:t>
      </w:r>
    </w:p>
    <w:p>
      <w:pPr>
        <w:pStyle w:val="Heading2"/>
      </w:pPr>
      <w:r>
        <w:t>The most important limit</w:t>
      </w:r>
    </w:p>
    <w:p>
      <w:r>
        <w:t>The 50 records are not a lifetime total or simply 88 minus duplicates. Some are related source versions and new extractions. The 13 due-and-eligible assessments are a selected subset, not a representative sample. Do not turn their rate into “Kurzweil’s accuracy.”</w:t>
      </w:r>
    </w:p>
    <w:p>
      <w:pPr>
        <w:pStyle w:val="Heading2"/>
      </w:pPr>
      <w:r>
        <w:t>Use the files, not this document alone</w:t>
      </w:r>
    </w:p>
    <w:p>
      <w:r>
        <w:t>Give the agent the whole package. Canonical JSON carries the criteria, verdicts, evidence and limitations; the reconciliation file explains how each old ID relates to the new data. The detailed Markdown dossier covers every canonical record.</w:t>
      </w:r>
    </w:p>
    <w:p>
      <w:pPr>
        <w:pStyle w:val="Caption"/>
      </w:pPr>
      <w:r>
        <w:t>Review method: AI-assisted research and editorial judgment, not human peer review. Original book editions were not independently collated. Author reprints, mirrors, event reports and independent outcome sources are labeled separately.</w:t>
      </w:r>
    </w:p>
    <w:p>
      <w:r>
        <w:br w:type="page"/>
      </w:r>
    </w:p>
    <w:p>
      <w:pPr>
        <w:pStyle w:val="Heading1"/>
      </w:pPr>
      <w:r>
        <w:t>1. Correct the record before scoring it</w:t>
      </w:r>
    </w:p>
    <w:p>
      <w:r>
        <w:t>These are errors or ambiguities in our intake. They must not be scored as failures by Kurzweil merely because the imported wording was defective.</w:t>
      </w:r>
    </w:p>
    <w:tbl>
      <w:tblPr>
        <w:tblW w:type="auto" w:w="0"/>
        <w:tblLayout w:type="fixed"/>
        <w:tblLook w:firstColumn="1" w:firstRow="1" w:lastColumn="0" w:lastRow="0" w:noHBand="0" w:noVBand="1" w:val="04A0"/>
      </w:tblPr>
      <w:tblGrid>
        <w:gridCol w:w="2419"/>
        <w:gridCol w:w="1037"/>
        <w:gridCol w:w="6696"/>
      </w:tblGrid>
      <w:tr>
        <w:trPr>
          <w:tblHeader/>
          <w:cantSplit/>
        </w:trPr>
        <w:tc>
          <w:tcPr>
            <w:tcW w:type="dxa" w:w="2419"/>
            <w:shd w:fill="E7EDE5"/>
            <w:tcMar>
              <w:top w:w="55" w:type="dxa"/>
              <w:bottom w:w="55" w:type="dxa"/>
            </w:tcMar>
          </w:tcPr>
          <w:p>
            <w:pPr>
              <w:spacing w:after="40" w:before="20" w:line="240" w:lineRule="auto"/>
            </w:pPr>
            <w:r>
              <w:rPr>
                <w:b/>
                <w:sz w:val="17"/>
              </w:rPr>
              <w:t>Imported problem</w:t>
            </w:r>
          </w:p>
        </w:tc>
        <w:tc>
          <w:tcPr>
            <w:tcW w:type="dxa" w:w="1037"/>
            <w:shd w:fill="E7EDE5"/>
            <w:tcMar>
              <w:top w:w="55" w:type="dxa"/>
              <w:bottom w:w="55" w:type="dxa"/>
            </w:tcMar>
          </w:tcPr>
          <w:p>
            <w:pPr>
              <w:spacing w:after="40" w:before="20" w:line="240" w:lineRule="auto"/>
            </w:pPr>
            <w:r>
              <w:rPr>
                <w:b/>
                <w:sz w:val="17"/>
              </w:rPr>
              <w:t>Record</w:t>
            </w:r>
          </w:p>
        </w:tc>
        <w:tc>
          <w:tcPr>
            <w:tcW w:type="dxa" w:w="6696"/>
            <w:shd w:fill="E7EDE5"/>
            <w:tcMar>
              <w:top w:w="55" w:type="dxa"/>
              <w:bottom w:w="55" w:type="dxa"/>
            </w:tcMar>
          </w:tcPr>
          <w:p>
            <w:pPr>
              <w:spacing w:after="40" w:before="20" w:line="240" w:lineRule="auto"/>
            </w:pPr>
            <w:r>
              <w:rPr>
                <w:b/>
                <w:sz w:val="17"/>
              </w:rPr>
              <w:t>Required correction</w:t>
            </w:r>
          </w:p>
        </w:tc>
      </w:tr>
      <w:tr>
        <w:trPr>
          <w:cantSplit/>
        </w:trPr>
        <w:tc>
          <w:tcPr>
            <w:tcW w:type="dxa" w:w="2419"/>
            <w:tcMar>
              <w:top w:w="55" w:type="dxa"/>
              <w:bottom w:w="55" w:type="dxa"/>
            </w:tcMar>
          </w:tcPr>
          <w:p>
            <w:pPr>
              <w:spacing w:after="40" w:before="20" w:line="240" w:lineRule="auto"/>
            </w:pPr>
            <w:r>
              <w:rPr>
                <w:sz w:val="17"/>
              </w:rPr>
              <w:t>Chess: 1998 vs 2000</w:t>
            </w:r>
          </w:p>
        </w:tc>
        <w:tc>
          <w:tcPr>
            <w:tcW w:type="dxa" w:w="1037"/>
            <w:tcMar>
              <w:top w:w="55" w:type="dxa"/>
              <w:bottom w:w="55" w:type="dxa"/>
            </w:tcMar>
          </w:tcPr>
          <w:p>
            <w:pPr>
              <w:spacing w:after="40" w:before="20" w:line="240" w:lineRule="auto"/>
            </w:pPr>
            <w:r>
              <w:rPr>
                <w:sz w:val="17"/>
              </w:rPr>
              <w:t>K001</w:t>
            </w:r>
          </w:p>
        </w:tc>
        <w:tc>
          <w:tcPr>
            <w:tcW w:type="dxa" w:w="6696"/>
            <w:tcMar>
              <w:top w:w="55" w:type="dxa"/>
              <w:bottom w:w="55" w:type="dxa"/>
            </w:tcMar>
          </w:tcPr>
          <w:p>
            <w:pPr>
              <w:spacing w:after="40" w:before="20" w:line="240" w:lineRule="auto"/>
            </w:pPr>
            <w:r>
              <w:rPr>
                <w:sz w:val="17"/>
              </w:rPr>
              <w:t>1997 outcome is confirmed. Original deadline remains disputed across the intake and retrospective. No exact drift yet. [P01, O01]</w:t>
            </w:r>
          </w:p>
        </w:tc>
      </w:tr>
      <w:tr>
        <w:trPr>
          <w:cantSplit/>
        </w:trPr>
        <w:tc>
          <w:tcPr>
            <w:tcW w:type="dxa" w:w="2419"/>
            <w:tcMar>
              <w:top w:w="55" w:type="dxa"/>
              <w:bottom w:w="55" w:type="dxa"/>
            </w:tcMar>
          </w:tcPr>
          <w:p>
            <w:pPr>
              <w:spacing w:after="40" w:before="20" w:line="240" w:lineRule="auto"/>
            </w:pPr>
            <w:r>
              <w:rPr>
                <w:sz w:val="17"/>
              </w:rPr>
              <w:t>Nanobots by 2019</w:t>
            </w:r>
          </w:p>
        </w:tc>
        <w:tc>
          <w:tcPr>
            <w:tcW w:type="dxa" w:w="1037"/>
            <w:tcMar>
              <w:top w:w="55" w:type="dxa"/>
              <w:bottom w:w="55" w:type="dxa"/>
            </w:tcMar>
          </w:tcPr>
          <w:p>
            <w:pPr>
              <w:spacing w:after="40" w:before="20" w:line="240" w:lineRule="auto"/>
            </w:pPr>
            <w:r>
              <w:rPr>
                <w:sz w:val="17"/>
              </w:rPr>
              <w:t>K024</w:t>
            </w:r>
          </w:p>
        </w:tc>
        <w:tc>
          <w:tcPr>
            <w:tcW w:type="dxa" w:w="6696"/>
            <w:tcMar>
              <w:top w:w="55" w:type="dxa"/>
              <w:bottom w:w="55" w:type="dxa"/>
            </w:tcMar>
          </w:tcPr>
          <w:p>
            <w:pPr>
              <w:spacing w:after="40" w:before="20" w:line="240" w:lineRule="auto"/>
            </w:pPr>
            <w:r>
              <w:rPr>
                <w:sz w:val="17"/>
              </w:rPr>
              <w:t>Located article version is 2029. Keep the alleged 2019 source unresolved; do not silently move its deadline. [P02]</w:t>
            </w:r>
          </w:p>
        </w:tc>
      </w:tr>
      <w:tr>
        <w:trPr>
          <w:cantSplit/>
        </w:trPr>
        <w:tc>
          <w:tcPr>
            <w:tcW w:type="dxa" w:w="2419"/>
            <w:tcMar>
              <w:top w:w="55" w:type="dxa"/>
              <w:bottom w:w="55" w:type="dxa"/>
            </w:tcMar>
          </w:tcPr>
          <w:p>
            <w:pPr>
              <w:spacing w:after="40" w:before="20" w:line="240" w:lineRule="auto"/>
            </w:pPr>
            <w:r>
              <w:rPr>
                <w:sz w:val="17"/>
              </w:rPr>
              <w:t>Cochlear implants cure deafness</w:t>
            </w:r>
          </w:p>
        </w:tc>
        <w:tc>
          <w:tcPr>
            <w:tcW w:type="dxa" w:w="1037"/>
            <w:tcMar>
              <w:top w:w="55" w:type="dxa"/>
              <w:bottom w:w="55" w:type="dxa"/>
            </w:tcMar>
          </w:tcPr>
          <w:p>
            <w:pPr>
              <w:spacing w:after="40" w:before="20" w:line="240" w:lineRule="auto"/>
            </w:pPr>
            <w:r>
              <w:rPr>
                <w:sz w:val="17"/>
              </w:rPr>
              <w:t>K049</w:t>
            </w:r>
          </w:p>
        </w:tc>
        <w:tc>
          <w:tcPr>
            <w:tcW w:type="dxa" w:w="6696"/>
            <w:tcMar>
              <w:top w:w="55" w:type="dxa"/>
              <w:bottom w:w="55" w:type="dxa"/>
            </w:tcMar>
          </w:tcPr>
          <w:p>
            <w:pPr>
              <w:spacing w:after="40" w:before="20" w:line="240" w:lineRule="auto"/>
            </w:pPr>
            <w:r>
              <w:rPr>
                <w:sz w:val="17"/>
              </w:rPr>
              <w:t>Unsupported 2009 paraphrase. Located 2029 prediction concerns networked implants; conventional implants do not restore normal hearing. [P02, O23]</w:t>
            </w:r>
          </w:p>
        </w:tc>
      </w:tr>
      <w:tr>
        <w:trPr>
          <w:cantSplit/>
        </w:trPr>
        <w:tc>
          <w:tcPr>
            <w:tcW w:type="dxa" w:w="2419"/>
            <w:tcMar>
              <w:top w:w="55" w:type="dxa"/>
              <w:bottom w:w="55" w:type="dxa"/>
            </w:tcMar>
          </w:tcPr>
          <w:p>
            <w:pPr>
              <w:spacing w:after="40" w:before="20" w:line="240" w:lineRule="auto"/>
            </w:pPr>
            <w:r>
              <w:rPr>
                <w:sz w:val="17"/>
              </w:rPr>
              <w:t>Self-driving cars common in 2009</w:t>
            </w:r>
          </w:p>
        </w:tc>
        <w:tc>
          <w:tcPr>
            <w:tcW w:type="dxa" w:w="1037"/>
            <w:tcMar>
              <w:top w:w="55" w:type="dxa"/>
              <w:bottom w:w="55" w:type="dxa"/>
            </w:tcMar>
          </w:tcPr>
          <w:p>
            <w:pPr>
              <w:spacing w:after="40" w:before="20" w:line="240" w:lineRule="auto"/>
            </w:pPr>
            <w:r>
              <w:rPr>
                <w:sz w:val="17"/>
              </w:rPr>
              <w:t>K026</w:t>
            </w:r>
          </w:p>
        </w:tc>
        <w:tc>
          <w:tcPr>
            <w:tcW w:type="dxa" w:w="6696"/>
            <w:tcMar>
              <w:top w:w="55" w:type="dxa"/>
              <w:bottom w:w="55" w:type="dxa"/>
            </w:tcMar>
          </w:tcPr>
          <w:p>
            <w:pPr>
              <w:spacing w:after="40" w:before="20" w:line="240" w:lineRule="auto"/>
            </w:pPr>
            <w:r>
              <w:rPr>
                <w:sz w:val="17"/>
              </w:rPr>
              <w:t>Original refers to intelligent highway infrastructure, not merely onboard autonomous driving. [P01]</w:t>
            </w:r>
          </w:p>
        </w:tc>
      </w:tr>
      <w:tr>
        <w:trPr>
          <w:cantSplit/>
        </w:trPr>
        <w:tc>
          <w:tcPr>
            <w:tcW w:type="dxa" w:w="2419"/>
            <w:tcMar>
              <w:top w:w="55" w:type="dxa"/>
              <w:bottom w:w="55" w:type="dxa"/>
            </w:tcMar>
          </w:tcPr>
          <w:p>
            <w:pPr>
              <w:spacing w:after="40" w:before="20" w:line="240" w:lineRule="auto"/>
            </w:pPr>
            <w:r>
              <w:rPr>
                <w:sz w:val="17"/>
              </w:rPr>
              <w:t>Life expectancy / age 150</w:t>
            </w:r>
          </w:p>
        </w:tc>
        <w:tc>
          <w:tcPr>
            <w:tcW w:type="dxa" w:w="1037"/>
            <w:tcMar>
              <w:top w:w="55" w:type="dxa"/>
              <w:bottom w:w="55" w:type="dxa"/>
            </w:tcMar>
          </w:tcPr>
          <w:p>
            <w:pPr>
              <w:spacing w:after="40" w:before="20" w:line="240" w:lineRule="auto"/>
            </w:pPr>
            <w:r>
              <w:rPr>
                <w:sz w:val="17"/>
              </w:rPr>
              <w:t>K027</w:t>
              <w:br/>
              <w:t>K028</w:t>
              <w:br/>
              <w:t>K042</w:t>
            </w:r>
          </w:p>
        </w:tc>
        <w:tc>
          <w:tcPr>
            <w:tcW w:type="dxa" w:w="6696"/>
            <w:tcMar>
              <w:top w:w="55" w:type="dxa"/>
              <w:bottom w:w="55" w:type="dxa"/>
            </w:tcMar>
          </w:tcPr>
          <w:p>
            <w:pPr>
              <w:spacing w:after="40" w:before="20" w:line="240" w:lineRule="auto"/>
            </w:pPr>
            <w:r>
              <w:rPr>
                <w:sz w:val="17"/>
              </w:rPr>
              <w:t>2019 &gt;100 and 2029 120 are located. The 2050 age-150 extrapolations were not. Longevity escape velocity is a different quantity. [P02, P05]</w:t>
            </w:r>
          </w:p>
        </w:tc>
      </w:tr>
      <w:tr>
        <w:trPr>
          <w:cantSplit/>
        </w:trPr>
        <w:tc>
          <w:tcPr>
            <w:tcW w:type="dxa" w:w="2419"/>
            <w:tcMar>
              <w:top w:w="55" w:type="dxa"/>
              <w:bottom w:w="55" w:type="dxa"/>
            </w:tcMar>
          </w:tcPr>
          <w:p>
            <w:pPr>
              <w:spacing w:after="40" w:before="20" w:line="240" w:lineRule="auto"/>
            </w:pPr>
            <w:r>
              <w:rPr>
                <w:sz w:val="17"/>
              </w:rPr>
              <w:t>Body computers: “many”</w:t>
            </w:r>
          </w:p>
        </w:tc>
        <w:tc>
          <w:tcPr>
            <w:tcW w:type="dxa" w:w="1037"/>
            <w:tcMar>
              <w:top w:w="55" w:type="dxa"/>
              <w:bottom w:w="55" w:type="dxa"/>
            </w:tcMar>
          </w:tcPr>
          <w:p>
            <w:pPr>
              <w:spacing w:after="40" w:before="20" w:line="240" w:lineRule="auto"/>
            </w:pPr>
            <w:r>
              <w:rPr>
                <w:sz w:val="17"/>
              </w:rPr>
              <w:t>K004</w:t>
            </w:r>
          </w:p>
        </w:tc>
        <w:tc>
          <w:tcPr>
            <w:tcW w:type="dxa" w:w="6696"/>
            <w:tcMar>
              <w:top w:w="55" w:type="dxa"/>
              <w:bottom w:w="55" w:type="dxa"/>
            </w:tcMar>
          </w:tcPr>
          <w:p>
            <w:pPr>
              <w:spacing w:after="40" w:before="20" w:line="240" w:lineRule="auto"/>
            </w:pPr>
            <w:r>
              <w:rPr>
                <w:sz w:val="17"/>
              </w:rPr>
              <w:t>Restore the at-least-twelve and body-network requirements. The intake had removed the testable threshold. [P01]</w:t>
            </w:r>
          </w:p>
        </w:tc>
      </w:tr>
      <w:tr>
        <w:trPr>
          <w:cantSplit/>
        </w:trPr>
        <w:tc>
          <w:tcPr>
            <w:tcW w:type="dxa" w:w="2419"/>
            <w:tcMar>
              <w:top w:w="55" w:type="dxa"/>
              <w:bottom w:w="55" w:type="dxa"/>
            </w:tcMar>
          </w:tcPr>
          <w:p>
            <w:pPr>
              <w:spacing w:after="40" w:before="20" w:line="240" w:lineRule="auto"/>
            </w:pPr>
            <w:r>
              <w:rPr>
                <w:sz w:val="17"/>
              </w:rPr>
              <w:t>Books and paper disappear</w:t>
            </w:r>
          </w:p>
        </w:tc>
        <w:tc>
          <w:tcPr>
            <w:tcW w:type="dxa" w:w="1037"/>
            <w:tcMar>
              <w:top w:w="55" w:type="dxa"/>
              <w:bottom w:w="55" w:type="dxa"/>
            </w:tcMar>
          </w:tcPr>
          <w:p>
            <w:pPr>
              <w:spacing w:after="40" w:before="20" w:line="240" w:lineRule="auto"/>
            </w:pPr>
            <w:r>
              <w:rPr>
                <w:sz w:val="17"/>
              </w:rPr>
              <w:t>K008/13</w:t>
            </w:r>
          </w:p>
        </w:tc>
        <w:tc>
          <w:tcPr>
            <w:tcW w:type="dxa" w:w="6696"/>
            <w:tcMar>
              <w:top w:w="55" w:type="dxa"/>
              <w:bottom w:w="55" w:type="dxa"/>
            </w:tcMar>
          </w:tcPr>
          <w:p>
            <w:pPr>
              <w:spacing w:after="40" w:before="20" w:line="240" w:lineRule="auto"/>
            </w:pPr>
            <w:r>
              <w:rPr>
                <w:sz w:val="17"/>
              </w:rPr>
              <w:t>Digital file delivery and paper-like reading do not assert that all media or paper has been replaced. [P01]</w:t>
            </w:r>
          </w:p>
        </w:tc>
      </w:tr>
      <w:tr>
        <w:trPr>
          <w:cantSplit/>
        </w:trPr>
        <w:tc>
          <w:tcPr>
            <w:tcW w:type="dxa" w:w="2419"/>
            <w:tcMar>
              <w:top w:w="55" w:type="dxa"/>
              <w:bottom w:w="55" w:type="dxa"/>
            </w:tcMar>
          </w:tcPr>
          <w:p>
            <w:pPr>
              <w:spacing w:after="40" w:before="20" w:line="240" w:lineRule="auto"/>
            </w:pPr>
            <w:r>
              <w:rPr>
                <w:sz w:val="17"/>
              </w:rPr>
              <w:t>VR is realistic</w:t>
            </w:r>
          </w:p>
        </w:tc>
        <w:tc>
          <w:tcPr>
            <w:tcW w:type="dxa" w:w="1037"/>
            <w:tcMar>
              <w:top w:w="55" w:type="dxa"/>
              <w:bottom w:w="55" w:type="dxa"/>
            </w:tcMar>
          </w:tcPr>
          <w:p>
            <w:pPr>
              <w:spacing w:after="40" w:before="20" w:line="240" w:lineRule="auto"/>
            </w:pPr>
            <w:r>
              <w:rPr>
                <w:sz w:val="17"/>
              </w:rPr>
              <w:t>K017/31</w:t>
            </w:r>
          </w:p>
        </w:tc>
        <w:tc>
          <w:tcPr>
            <w:tcW w:type="dxa" w:w="6696"/>
            <w:tcMar>
              <w:top w:w="55" w:type="dxa"/>
              <w:bottom w:w="55" w:type="dxa"/>
            </w:tcMar>
          </w:tcPr>
          <w:p>
            <w:pPr>
              <w:spacing w:after="40" w:before="20" w:line="240" w:lineRule="auto"/>
            </w:pPr>
            <w:r>
              <w:rPr>
                <w:sz w:val="17"/>
              </w:rPr>
              <w:t>Audiovisual immersion and full-body tactile simulation are different claims. A headset launch does not satisfy both. [P01, P02]</w:t>
            </w:r>
          </w:p>
        </w:tc>
      </w:tr>
      <w:tr>
        <w:trPr>
          <w:cantSplit/>
        </w:trPr>
        <w:tc>
          <w:tcPr>
            <w:tcW w:type="dxa" w:w="2419"/>
            <w:tcMar>
              <w:top w:w="55" w:type="dxa"/>
              <w:bottom w:w="55" w:type="dxa"/>
            </w:tcMar>
          </w:tcPr>
          <w:p>
            <w:pPr>
              <w:spacing w:after="40" w:before="20" w:line="240" w:lineRule="auto"/>
            </w:pPr>
            <w:r>
              <w:rPr>
                <w:sz w:val="17"/>
              </w:rPr>
              <w:t>One billion times one brain</w:t>
            </w:r>
          </w:p>
        </w:tc>
        <w:tc>
          <w:tcPr>
            <w:tcW w:type="dxa" w:w="1037"/>
            <w:tcMar>
              <w:top w:w="55" w:type="dxa"/>
              <w:bottom w:w="55" w:type="dxa"/>
            </w:tcMar>
          </w:tcPr>
          <w:p>
            <w:pPr>
              <w:spacing w:after="40" w:before="20" w:line="240" w:lineRule="auto"/>
            </w:pPr>
            <w:r>
              <w:rPr>
                <w:sz w:val="17"/>
              </w:rPr>
              <w:t>K022</w:t>
            </w:r>
          </w:p>
        </w:tc>
        <w:tc>
          <w:tcPr>
            <w:tcW w:type="dxa" w:w="6696"/>
            <w:tcMar>
              <w:top w:w="55" w:type="dxa"/>
              <w:bottom w:w="55" w:type="dxa"/>
            </w:tcMar>
          </w:tcPr>
          <w:p>
            <w:pPr>
              <w:spacing w:after="40" w:before="20" w:line="240" w:lineRule="auto"/>
            </w:pPr>
            <w:r>
              <w:rPr>
                <w:sz w:val="17"/>
              </w:rPr>
              <w:t>The checked Q&amp;A uses humanity’s combined intelligence as its reference, not one brain. [P04]</w:t>
            </w:r>
          </w:p>
        </w:tc>
      </w:tr>
      <w:tr>
        <w:trPr>
          <w:cantSplit/>
        </w:trPr>
        <w:tc>
          <w:tcPr>
            <w:tcW w:type="dxa" w:w="2419"/>
            <w:tcMar>
              <w:top w:w="55" w:type="dxa"/>
              <w:bottom w:w="55" w:type="dxa"/>
            </w:tcMar>
          </w:tcPr>
          <w:p>
            <w:pPr>
              <w:spacing w:after="40" w:before="20" w:line="240" w:lineRule="auto"/>
            </w:pPr>
            <w:r>
              <w:rPr>
                <w:sz w:val="17"/>
              </w:rPr>
              <w:t>Any Turing-test success</w:t>
            </w:r>
          </w:p>
        </w:tc>
        <w:tc>
          <w:tcPr>
            <w:tcW w:type="dxa" w:w="1037"/>
            <w:tcMar>
              <w:top w:w="55" w:type="dxa"/>
              <w:bottom w:w="55" w:type="dxa"/>
            </w:tcMar>
          </w:tcPr>
          <w:p>
            <w:pPr>
              <w:spacing w:after="40" w:before="20" w:line="240" w:lineRule="auto"/>
            </w:pPr>
            <w:r>
              <w:rPr>
                <w:sz w:val="17"/>
              </w:rPr>
              <w:t>K023/45</w:t>
            </w:r>
          </w:p>
        </w:tc>
        <w:tc>
          <w:tcPr>
            <w:tcW w:type="dxa" w:w="6696"/>
            <w:tcMar>
              <w:top w:w="55" w:type="dxa"/>
              <w:bottom w:w="55" w:type="dxa"/>
            </w:tcMar>
          </w:tcPr>
          <w:p>
            <w:pPr>
              <w:spacing w:after="40" w:before="20" w:line="240" w:lineRule="auto"/>
            </w:pPr>
            <w:r>
              <w:rPr>
                <w:sz w:val="17"/>
              </w:rPr>
              <w:t>A five-minute experiment is not the same as the two-hour wager protocol or a broad general-intelligence forecast. [P03, O21]</w:t>
            </w:r>
          </w:p>
        </w:tc>
      </w:tr>
    </w:tbl>
    <w:p>
      <w:r>
        <w:t>Forty original rows are quarantined in whole or in their unlocated version. “Quarantined” means “do not score this imported attribution”; it does not mean the corresponding technology is impossible or that Kurzweil never said anything related.</w:t>
      </w:r>
    </w:p>
    <w:p>
      <w:r>
        <w:br w:type="page"/>
      </w:r>
    </w:p>
    <w:p>
      <w:pPr>
        <w:pStyle w:val="Heading1"/>
      </w:pPr>
      <w:r>
        <w:t>2. Dated outcomes that can be displayed</w:t>
      </w:r>
    </w:p>
    <w:p>
      <w:r>
        <w:t>These are editorial judgments with explicit criteria. Source confirmation and outcome confidence remain visible in the detailed records. A missed deadline is not automatically a claim of permanent nonfulfillment.</w:t>
      </w:r>
    </w:p>
    <w:tbl>
      <w:tblPr>
        <w:tblW w:type="auto" w:w="0"/>
        <w:tblLayout w:type="fixed"/>
        <w:tblLook w:firstColumn="1" w:firstRow="1" w:lastColumn="0" w:lastRow="0" w:noHBand="0" w:noVBand="1" w:val="04A0"/>
      </w:tblPr>
      <w:tblGrid>
        <w:gridCol w:w="691"/>
        <w:gridCol w:w="4320"/>
        <w:gridCol w:w="720"/>
        <w:gridCol w:w="1440"/>
        <w:gridCol w:w="2981"/>
      </w:tblGrid>
      <w:tr>
        <w:trPr>
          <w:tblHeader/>
          <w:cantSplit/>
        </w:trPr>
        <w:tc>
          <w:tcPr>
            <w:tcW w:type="dxa" w:w="691"/>
            <w:shd w:fill="E7EDE5"/>
            <w:tcMar>
              <w:top w:w="55" w:type="dxa"/>
              <w:bottom w:w="55" w:type="dxa"/>
            </w:tcMar>
          </w:tcPr>
          <w:p>
            <w:pPr>
              <w:spacing w:after="40" w:before="20" w:line="240" w:lineRule="auto"/>
            </w:pPr>
            <w:r>
              <w:rPr>
                <w:b/>
                <w:sz w:val="17"/>
              </w:rPr>
              <w:t>ID</w:t>
            </w:r>
          </w:p>
        </w:tc>
        <w:tc>
          <w:tcPr>
            <w:tcW w:type="dxa" w:w="4320"/>
            <w:shd w:fill="E7EDE5"/>
            <w:tcMar>
              <w:top w:w="55" w:type="dxa"/>
              <w:bottom w:w="55" w:type="dxa"/>
            </w:tcMar>
          </w:tcPr>
          <w:p>
            <w:pPr>
              <w:spacing w:after="40" w:before="20" w:line="240" w:lineRule="auto"/>
            </w:pPr>
            <w:r>
              <w:rPr>
                <w:b/>
                <w:sz w:val="17"/>
              </w:rPr>
              <w:t>Prediction</w:t>
            </w:r>
          </w:p>
        </w:tc>
        <w:tc>
          <w:tcPr>
            <w:tcW w:type="dxa" w:w="720"/>
            <w:shd w:fill="E7EDE5"/>
            <w:tcMar>
              <w:top w:w="55" w:type="dxa"/>
              <w:bottom w:w="55" w:type="dxa"/>
            </w:tcMar>
          </w:tcPr>
          <w:p>
            <w:pPr>
              <w:spacing w:after="40" w:before="20" w:line="240" w:lineRule="auto"/>
            </w:pPr>
            <w:r>
              <w:rPr>
                <w:b/>
                <w:sz w:val="17"/>
              </w:rPr>
              <w:t>Due</w:t>
            </w:r>
          </w:p>
        </w:tc>
        <w:tc>
          <w:tcPr>
            <w:tcW w:type="dxa" w:w="1440"/>
            <w:shd w:fill="E7EDE5"/>
            <w:tcMar>
              <w:top w:w="55" w:type="dxa"/>
              <w:bottom w:w="55" w:type="dxa"/>
            </w:tcMar>
          </w:tcPr>
          <w:p>
            <w:pPr>
              <w:spacing w:after="40" w:before="20" w:line="240" w:lineRule="auto"/>
            </w:pPr>
            <w:r>
              <w:rPr>
                <w:b/>
                <w:sz w:val="17"/>
              </w:rPr>
              <w:t>Verdict</w:t>
            </w:r>
          </w:p>
        </w:tc>
        <w:tc>
          <w:tcPr>
            <w:tcW w:type="dxa" w:w="2981"/>
            <w:shd w:fill="E7EDE5"/>
            <w:tcMar>
              <w:top w:w="55" w:type="dxa"/>
              <w:bottom w:w="55" w:type="dxa"/>
            </w:tcMar>
          </w:tcPr>
          <w:p>
            <w:pPr>
              <w:spacing w:after="40" w:before="20" w:line="240" w:lineRule="auto"/>
            </w:pPr>
            <w:r>
              <w:rPr>
                <w:b/>
                <w:sz w:val="17"/>
              </w:rPr>
              <w:t>Sources</w:t>
            </w:r>
          </w:p>
        </w:tc>
      </w:tr>
      <w:tr>
        <w:trPr>
          <w:cantSplit/>
        </w:trPr>
        <w:tc>
          <w:tcPr>
            <w:tcW w:type="dxa" w:w="691"/>
            <w:tcMar>
              <w:top w:w="55" w:type="dxa"/>
              <w:bottom w:w="55" w:type="dxa"/>
            </w:tcMar>
          </w:tcPr>
          <w:p>
            <w:pPr>
              <w:spacing w:after="40" w:before="20" w:line="240" w:lineRule="auto"/>
            </w:pPr>
            <w:r>
              <w:rPr>
                <w:sz w:val="17"/>
              </w:rPr>
              <w:t>K002</w:t>
            </w:r>
          </w:p>
        </w:tc>
        <w:tc>
          <w:tcPr>
            <w:tcW w:type="dxa" w:w="4320"/>
            <w:tcMar>
              <w:top w:w="55" w:type="dxa"/>
              <w:bottom w:w="55" w:type="dxa"/>
            </w:tcMar>
          </w:tcPr>
          <w:p>
            <w:pPr>
              <w:spacing w:after="40" w:before="20" w:line="240" w:lineRule="auto"/>
            </w:pPr>
            <w:r>
              <w:rPr>
                <w:sz w:val="17"/>
              </w:rPr>
              <w:t>Lighter and thinner portable computers</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CORRECT</w:t>
            </w:r>
          </w:p>
        </w:tc>
        <w:tc>
          <w:tcPr>
            <w:tcW w:type="dxa" w:w="2981"/>
            <w:tcMar>
              <w:top w:w="55" w:type="dxa"/>
              <w:bottom w:w="55" w:type="dxa"/>
            </w:tcMar>
          </w:tcPr>
          <w:p>
            <w:pPr>
              <w:spacing w:after="40" w:before="20" w:line="240" w:lineRule="auto"/>
            </w:pPr>
            <w:r>
              <w:rPr>
                <w:sz w:val="17"/>
              </w:rPr>
              <w:t>P01,O02,O04,O03</w:t>
            </w:r>
          </w:p>
        </w:tc>
      </w:tr>
      <w:tr>
        <w:trPr>
          <w:cantSplit/>
        </w:trPr>
        <w:tc>
          <w:tcPr>
            <w:tcW w:type="dxa" w:w="691"/>
            <w:tcMar>
              <w:top w:w="55" w:type="dxa"/>
              <w:bottom w:w="55" w:type="dxa"/>
            </w:tcMar>
          </w:tcPr>
          <w:p>
            <w:pPr>
              <w:spacing w:after="40" w:before="20" w:line="240" w:lineRule="auto"/>
            </w:pPr>
            <w:r>
              <w:rPr>
                <w:sz w:val="17"/>
              </w:rPr>
              <w:t>K008</w:t>
            </w:r>
          </w:p>
        </w:tc>
        <w:tc>
          <w:tcPr>
            <w:tcW w:type="dxa" w:w="4320"/>
            <w:tcMar>
              <w:top w:w="55" w:type="dxa"/>
              <w:bottom w:w="55" w:type="dxa"/>
            </w:tcMar>
          </w:tcPr>
          <w:p>
            <w:pPr>
              <w:spacing w:after="40" w:before="20" w:line="240" w:lineRule="auto"/>
            </w:pPr>
            <w:r>
              <w:rPr>
                <w:sz w:val="17"/>
              </w:rPr>
              <w:t>Wireless delivery of digital media and software</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CORRECT</w:t>
            </w:r>
          </w:p>
        </w:tc>
        <w:tc>
          <w:tcPr>
            <w:tcW w:type="dxa" w:w="2981"/>
            <w:tcMar>
              <w:top w:w="55" w:type="dxa"/>
              <w:bottom w:w="55" w:type="dxa"/>
            </w:tcMar>
          </w:tcPr>
          <w:p>
            <w:pPr>
              <w:spacing w:after="40" w:before="20" w:line="240" w:lineRule="auto"/>
            </w:pPr>
            <w:r>
              <w:rPr>
                <w:sz w:val="17"/>
              </w:rPr>
              <w:t>P01,O05,O06,O07</w:t>
            </w:r>
          </w:p>
        </w:tc>
      </w:tr>
      <w:tr>
        <w:trPr>
          <w:cantSplit/>
        </w:trPr>
        <w:tc>
          <w:tcPr>
            <w:tcW w:type="dxa" w:w="691"/>
            <w:tcMar>
              <w:top w:w="55" w:type="dxa"/>
              <w:bottom w:w="55" w:type="dxa"/>
            </w:tcMar>
          </w:tcPr>
          <w:p>
            <w:pPr>
              <w:spacing w:after="40" w:before="20" w:line="240" w:lineRule="auto"/>
            </w:pPr>
            <w:r>
              <w:rPr>
                <w:sz w:val="17"/>
              </w:rPr>
              <w:t>K009</w:t>
            </w:r>
          </w:p>
        </w:tc>
        <w:tc>
          <w:tcPr>
            <w:tcW w:type="dxa" w:w="4320"/>
            <w:tcMar>
              <w:top w:w="55" w:type="dxa"/>
              <w:bottom w:w="55" w:type="dxa"/>
            </w:tcMar>
          </w:tcPr>
          <w:p>
            <w:pPr>
              <w:spacing w:after="40" w:before="20" w:line="240" w:lineRule="auto"/>
            </w:pPr>
            <w:r>
              <w:rPr>
                <w:sz w:val="17"/>
              </w:rPr>
              <w:t>Wireless links replace some peripheral cables</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P01,O08,O03</w:t>
            </w:r>
          </w:p>
        </w:tc>
      </w:tr>
      <w:tr>
        <w:trPr>
          <w:cantSplit/>
        </w:trPr>
        <w:tc>
          <w:tcPr>
            <w:tcW w:type="dxa" w:w="691"/>
            <w:tcMar>
              <w:top w:w="55" w:type="dxa"/>
              <w:bottom w:w="55" w:type="dxa"/>
            </w:tcMar>
          </w:tcPr>
          <w:p>
            <w:pPr>
              <w:spacing w:after="40" w:before="20" w:line="240" w:lineRule="auto"/>
            </w:pPr>
            <w:r>
              <w:rPr>
                <w:sz w:val="17"/>
              </w:rPr>
              <w:t>K010</w:t>
            </w:r>
          </w:p>
        </w:tc>
        <w:tc>
          <w:tcPr>
            <w:tcW w:type="dxa" w:w="4320"/>
            <w:tcMar>
              <w:top w:w="55" w:type="dxa"/>
              <w:bottom w:w="55" w:type="dxa"/>
            </w:tcMar>
          </w:tcPr>
          <w:p>
            <w:pPr>
              <w:spacing w:after="40" w:before="20" w:line="240" w:lineRule="auto"/>
            </w:pPr>
            <w:r>
              <w:rPr>
                <w:sz w:val="17"/>
              </w:rPr>
              <w:t>Routine, reliable, high-bandwidth wireless access</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P01,O03,O09</w:t>
            </w:r>
          </w:p>
        </w:tc>
      </w:tr>
      <w:tr>
        <w:trPr>
          <w:cantSplit/>
        </w:trPr>
        <w:tc>
          <w:tcPr>
            <w:tcW w:type="dxa" w:w="691"/>
            <w:tcMar>
              <w:top w:w="55" w:type="dxa"/>
              <w:bottom w:w="55" w:type="dxa"/>
            </w:tcMar>
          </w:tcPr>
          <w:p>
            <w:pPr>
              <w:spacing w:after="40" w:before="20" w:line="240" w:lineRule="auto"/>
            </w:pPr>
            <w:r>
              <w:rPr>
                <w:sz w:val="17"/>
              </w:rPr>
              <w:t>K011</w:t>
            </w:r>
          </w:p>
        </w:tc>
        <w:tc>
          <w:tcPr>
            <w:tcW w:type="dxa" w:w="4320"/>
            <w:tcMar>
              <w:top w:w="55" w:type="dxa"/>
              <w:bottom w:w="55" w:type="dxa"/>
            </w:tcMar>
          </w:tcPr>
          <w:p>
            <w:pPr>
              <w:spacing w:after="40" w:before="20" w:line="240" w:lineRule="auto"/>
            </w:pPr>
            <w:r>
              <w:rPr>
                <w:sz w:val="17"/>
              </w:rPr>
              <w:t>Dictation creates the majority of text</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WRONG / MISSED</w:t>
            </w:r>
          </w:p>
        </w:tc>
        <w:tc>
          <w:tcPr>
            <w:tcW w:type="dxa" w:w="2981"/>
            <w:tcMar>
              <w:top w:w="55" w:type="dxa"/>
              <w:bottom w:w="55" w:type="dxa"/>
            </w:tcMar>
          </w:tcPr>
          <w:p>
            <w:pPr>
              <w:spacing w:after="40" w:before="20" w:line="240" w:lineRule="auto"/>
            </w:pPr>
            <w:r>
              <w:rPr>
                <w:sz w:val="17"/>
              </w:rPr>
              <w:t>P01</w:t>
            </w:r>
          </w:p>
        </w:tc>
      </w:tr>
      <w:tr>
        <w:trPr>
          <w:cantSplit/>
        </w:trPr>
        <w:tc>
          <w:tcPr>
            <w:tcW w:type="dxa" w:w="691"/>
            <w:tcMar>
              <w:top w:w="55" w:type="dxa"/>
              <w:bottom w:w="55" w:type="dxa"/>
            </w:tcMar>
          </w:tcPr>
          <w:p>
            <w:pPr>
              <w:spacing w:after="40" w:before="20" w:line="240" w:lineRule="auto"/>
            </w:pPr>
            <w:r>
              <w:rPr>
                <w:sz w:val="17"/>
              </w:rPr>
              <w:t>K012</w:t>
            </w:r>
          </w:p>
        </w:tc>
        <w:tc>
          <w:tcPr>
            <w:tcW w:type="dxa" w:w="4320"/>
            <w:tcMar>
              <w:top w:w="55" w:type="dxa"/>
              <w:bottom w:w="55" w:type="dxa"/>
            </w:tcMar>
          </w:tcPr>
          <w:p>
            <w:pPr>
              <w:spacing w:after="40" w:before="20" w:line="240" w:lineRule="auto"/>
            </w:pPr>
            <w:r>
              <w:rPr>
                <w:sz w:val="17"/>
              </w:rPr>
              <w:t>Ubiquitous language interfaces and animated assistants</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P01,O10</w:t>
            </w:r>
          </w:p>
        </w:tc>
      </w:tr>
      <w:tr>
        <w:trPr>
          <w:cantSplit/>
        </w:trPr>
        <w:tc>
          <w:tcPr>
            <w:tcW w:type="dxa" w:w="691"/>
            <w:tcMar>
              <w:top w:w="55" w:type="dxa"/>
              <w:bottom w:w="55" w:type="dxa"/>
            </w:tcMar>
          </w:tcPr>
          <w:p>
            <w:pPr>
              <w:spacing w:after="40" w:before="20" w:line="240" w:lineRule="auto"/>
            </w:pPr>
            <w:r>
              <w:rPr>
                <w:sz w:val="17"/>
              </w:rPr>
              <w:t>K013</w:t>
            </w:r>
          </w:p>
        </w:tc>
        <w:tc>
          <w:tcPr>
            <w:tcW w:type="dxa" w:w="4320"/>
            <w:tcMar>
              <w:top w:w="55" w:type="dxa"/>
              <w:bottom w:w="55" w:type="dxa"/>
            </w:tcMar>
          </w:tcPr>
          <w:p>
            <w:pPr>
              <w:spacing w:after="40" w:before="20" w:line="240" w:lineRule="auto"/>
            </w:pPr>
            <w:r>
              <w:rPr>
                <w:sz w:val="17"/>
              </w:rPr>
              <w:t>Paper-like displays and routine electronic reading</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P01,O05,O09</w:t>
            </w:r>
          </w:p>
        </w:tc>
      </w:tr>
      <w:tr>
        <w:trPr>
          <w:cantSplit/>
        </w:trPr>
        <w:tc>
          <w:tcPr>
            <w:tcW w:type="dxa" w:w="691"/>
            <w:tcMar>
              <w:top w:w="55" w:type="dxa"/>
              <w:bottom w:w="55" w:type="dxa"/>
            </w:tcMar>
          </w:tcPr>
          <w:p>
            <w:pPr>
              <w:spacing w:after="40" w:before="20" w:line="240" w:lineRule="auto"/>
            </w:pPr>
            <w:r>
              <w:rPr>
                <w:sz w:val="17"/>
              </w:rPr>
              <w:t>K019</w:t>
            </w:r>
          </w:p>
        </w:tc>
        <w:tc>
          <w:tcPr>
            <w:tcW w:type="dxa" w:w="4320"/>
            <w:tcMar>
              <w:top w:w="55" w:type="dxa"/>
              <w:bottom w:w="55" w:type="dxa"/>
            </w:tcMar>
          </w:tcPr>
          <w:p>
            <w:pPr>
              <w:spacing w:after="40" w:before="20" w:line="240" w:lineRule="auto"/>
            </w:pPr>
            <w:r>
              <w:rPr>
                <w:sz w:val="17"/>
              </w:rPr>
              <w:t>People largely removed from the battlefield</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WRONG / MISSED</w:t>
            </w:r>
          </w:p>
        </w:tc>
        <w:tc>
          <w:tcPr>
            <w:tcW w:type="dxa" w:w="2981"/>
            <w:tcMar>
              <w:top w:w="55" w:type="dxa"/>
              <w:bottom w:w="55" w:type="dxa"/>
            </w:tcMar>
          </w:tcPr>
          <w:p>
            <w:pPr>
              <w:spacing w:after="40" w:before="20" w:line="240" w:lineRule="auto"/>
            </w:pPr>
            <w:r>
              <w:rPr>
                <w:sz w:val="17"/>
              </w:rPr>
              <w:t>P01,O13</w:t>
            </w:r>
          </w:p>
        </w:tc>
      </w:tr>
      <w:tr>
        <w:trPr>
          <w:cantSplit/>
        </w:trPr>
        <w:tc>
          <w:tcPr>
            <w:tcW w:type="dxa" w:w="691"/>
            <w:tcMar>
              <w:top w:w="55" w:type="dxa"/>
              <w:bottom w:w="55" w:type="dxa"/>
            </w:tcMar>
          </w:tcPr>
          <w:p>
            <w:pPr>
              <w:spacing w:after="40" w:before="20" w:line="240" w:lineRule="auto"/>
            </w:pPr>
            <w:r>
              <w:rPr>
                <w:sz w:val="17"/>
              </w:rPr>
              <w:t>K026</w:t>
            </w:r>
          </w:p>
        </w:tc>
        <w:tc>
          <w:tcPr>
            <w:tcW w:type="dxa" w:w="4320"/>
            <w:tcMar>
              <w:top w:w="55" w:type="dxa"/>
              <w:bottom w:w="55" w:type="dxa"/>
            </w:tcMar>
          </w:tcPr>
          <w:p>
            <w:pPr>
              <w:spacing w:after="40" w:before="20" w:line="240" w:lineRule="auto"/>
            </w:pPr>
            <w:r>
              <w:rPr>
                <w:sz w:val="17"/>
              </w:rPr>
              <w:t>Automated intelligent highways</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WRONG / MISSED</w:t>
            </w:r>
          </w:p>
        </w:tc>
        <w:tc>
          <w:tcPr>
            <w:tcW w:type="dxa" w:w="2981"/>
            <w:tcMar>
              <w:top w:w="55" w:type="dxa"/>
              <w:bottom w:w="55" w:type="dxa"/>
            </w:tcMar>
          </w:tcPr>
          <w:p>
            <w:pPr>
              <w:spacing w:after="40" w:before="20" w:line="240" w:lineRule="auto"/>
            </w:pPr>
            <w:r>
              <w:rPr>
                <w:sz w:val="17"/>
              </w:rPr>
              <w:t>P01,O15,O24</w:t>
            </w:r>
          </w:p>
        </w:tc>
      </w:tr>
      <w:tr>
        <w:trPr>
          <w:cantSplit/>
        </w:trPr>
        <w:tc>
          <w:tcPr>
            <w:tcW w:type="dxa" w:w="691"/>
            <w:tcMar>
              <w:top w:w="55" w:type="dxa"/>
              <w:bottom w:w="55" w:type="dxa"/>
            </w:tcMar>
          </w:tcPr>
          <w:p>
            <w:pPr>
              <w:spacing w:after="40" w:before="20" w:line="240" w:lineRule="auto"/>
            </w:pPr>
            <w:r>
              <w:rPr>
                <w:sz w:val="17"/>
              </w:rPr>
              <w:t>K027</w:t>
            </w:r>
          </w:p>
        </w:tc>
        <w:tc>
          <w:tcPr>
            <w:tcW w:type="dxa" w:w="4320"/>
            <w:tcMar>
              <w:top w:w="55" w:type="dxa"/>
              <w:bottom w:w="55" w:type="dxa"/>
            </w:tcMar>
          </w:tcPr>
          <w:p>
            <w:pPr>
              <w:spacing w:after="40" w:before="20" w:line="240" w:lineRule="auto"/>
            </w:pPr>
            <w:r>
              <w:rPr>
                <w:sz w:val="17"/>
              </w:rPr>
              <w:t>Life expectancy over 100</w:t>
            </w:r>
          </w:p>
        </w:tc>
        <w:tc>
          <w:tcPr>
            <w:tcW w:type="dxa" w:w="720"/>
            <w:tcMar>
              <w:top w:w="55" w:type="dxa"/>
              <w:bottom w:w="55" w:type="dxa"/>
            </w:tcMar>
          </w:tcPr>
          <w:p>
            <w:pPr>
              <w:spacing w:after="40" w:before="20" w:line="240" w:lineRule="auto"/>
            </w:pPr>
            <w:r>
              <w:rPr>
                <w:sz w:val="17"/>
              </w:rPr>
              <w:t>2019</w:t>
            </w:r>
          </w:p>
        </w:tc>
        <w:tc>
          <w:tcPr>
            <w:tcW w:type="dxa" w:w="1440"/>
            <w:tcMar>
              <w:top w:w="55" w:type="dxa"/>
              <w:bottom w:w="55" w:type="dxa"/>
            </w:tcMar>
          </w:tcPr>
          <w:p>
            <w:pPr>
              <w:spacing w:after="40" w:before="20" w:line="240" w:lineRule="auto"/>
            </w:pPr>
            <w:r>
              <w:rPr>
                <w:sz w:val="17"/>
              </w:rPr>
              <w:t>WRONG / MISSED</w:t>
            </w:r>
          </w:p>
        </w:tc>
        <w:tc>
          <w:tcPr>
            <w:tcW w:type="dxa" w:w="2981"/>
            <w:tcMar>
              <w:top w:w="55" w:type="dxa"/>
              <w:bottom w:w="55" w:type="dxa"/>
            </w:tcMar>
          </w:tcPr>
          <w:p>
            <w:pPr>
              <w:spacing w:after="40" w:before="20" w:line="240" w:lineRule="auto"/>
            </w:pPr>
            <w:r>
              <w:rPr>
                <w:sz w:val="17"/>
              </w:rPr>
              <w:t>P02,O16,O17</w:t>
            </w:r>
          </w:p>
        </w:tc>
      </w:tr>
      <w:tr>
        <w:trPr>
          <w:cantSplit/>
        </w:trPr>
        <w:tc>
          <w:tcPr>
            <w:tcW w:type="dxa" w:w="691"/>
            <w:tcMar>
              <w:top w:w="55" w:type="dxa"/>
              <w:bottom w:w="55" w:type="dxa"/>
            </w:tcMar>
          </w:tcPr>
          <w:p>
            <w:pPr>
              <w:spacing w:after="40" w:before="20" w:line="240" w:lineRule="auto"/>
            </w:pPr>
            <w:r>
              <w:rPr>
                <w:sz w:val="17"/>
              </w:rPr>
              <w:t>K033</w:t>
            </w:r>
          </w:p>
        </w:tc>
        <w:tc>
          <w:tcPr>
            <w:tcW w:type="dxa" w:w="4320"/>
            <w:tcMar>
              <w:top w:w="55" w:type="dxa"/>
              <w:bottom w:w="55" w:type="dxa"/>
            </w:tcMar>
          </w:tcPr>
          <w:p>
            <w:pPr>
              <w:spacing w:after="40" w:before="20" w:line="240" w:lineRule="auto"/>
            </w:pPr>
            <w:r>
              <w:rPr>
                <w:sz w:val="17"/>
              </w:rPr>
              <w:t>Supercomputers reach 20 quadrillion calculations per second</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LATE*</w:t>
            </w:r>
          </w:p>
        </w:tc>
        <w:tc>
          <w:tcPr>
            <w:tcW w:type="dxa" w:w="2981"/>
            <w:tcMar>
              <w:top w:w="55" w:type="dxa"/>
              <w:bottom w:w="55" w:type="dxa"/>
            </w:tcMar>
          </w:tcPr>
          <w:p>
            <w:pPr>
              <w:spacing w:after="40" w:before="20" w:line="240" w:lineRule="auto"/>
            </w:pPr>
            <w:r>
              <w:rPr>
                <w:sz w:val="17"/>
              </w:rPr>
              <w:t>P02,O18,O19,O20</w:t>
            </w:r>
          </w:p>
        </w:tc>
      </w:tr>
      <w:tr>
        <w:trPr>
          <w:cantSplit/>
        </w:trPr>
        <w:tc>
          <w:tcPr>
            <w:tcW w:type="dxa" w:w="691"/>
            <w:tcMar>
              <w:top w:w="55" w:type="dxa"/>
              <w:bottom w:w="55" w:type="dxa"/>
            </w:tcMar>
          </w:tcPr>
          <w:p>
            <w:pPr>
              <w:spacing w:after="40" w:before="20" w:line="240" w:lineRule="auto"/>
            </w:pPr>
            <w:r>
              <w:rPr>
                <w:sz w:val="17"/>
              </w:rPr>
              <w:t>K041</w:t>
            </w:r>
          </w:p>
        </w:tc>
        <w:tc>
          <w:tcPr>
            <w:tcW w:type="dxa" w:w="4320"/>
            <w:tcMar>
              <w:top w:w="55" w:type="dxa"/>
              <w:bottom w:w="55" w:type="dxa"/>
            </w:tcMar>
          </w:tcPr>
          <w:p>
            <w:pPr>
              <w:spacing w:after="40" w:before="20" w:line="240" w:lineRule="auto"/>
            </w:pPr>
            <w:r>
              <w:rPr>
                <w:sz w:val="17"/>
              </w:rPr>
              <w:t>Wearable diagnosis and health intervention</w:t>
            </w:r>
          </w:p>
        </w:tc>
        <w:tc>
          <w:tcPr>
            <w:tcW w:type="dxa" w:w="720"/>
            <w:tcMar>
              <w:top w:w="55" w:type="dxa"/>
              <w:bottom w:w="55" w:type="dxa"/>
            </w:tcMar>
          </w:tcPr>
          <w:p>
            <w:pPr>
              <w:spacing w:after="40" w:before="20" w:line="240" w:lineRule="auto"/>
            </w:pPr>
            <w:r>
              <w:rPr>
                <w:sz w:val="17"/>
              </w:rPr>
              <w:t>2019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P02,O22</w:t>
            </w:r>
          </w:p>
        </w:tc>
      </w:tr>
      <w:tr>
        <w:trPr>
          <w:cantSplit/>
        </w:trPr>
        <w:tc>
          <w:tcPr>
            <w:tcW w:type="dxa" w:w="691"/>
            <w:tcMar>
              <w:top w:w="55" w:type="dxa"/>
              <w:bottom w:w="55" w:type="dxa"/>
            </w:tcMar>
          </w:tcPr>
          <w:p>
            <w:pPr>
              <w:spacing w:after="40" w:before="20" w:line="240" w:lineRule="auto"/>
            </w:pPr>
            <w:r>
              <w:rPr>
                <w:sz w:val="17"/>
              </w:rPr>
              <w:t>K047</w:t>
            </w:r>
          </w:p>
        </w:tc>
        <w:tc>
          <w:tcPr>
            <w:tcW w:type="dxa" w:w="4320"/>
            <w:tcMar>
              <w:top w:w="55" w:type="dxa"/>
              <w:bottom w:w="55" w:type="dxa"/>
            </w:tcMar>
          </w:tcPr>
          <w:p>
            <w:pPr>
              <w:spacing w:after="40" w:before="20" w:line="240" w:lineRule="auto"/>
            </w:pPr>
            <w:r>
              <w:rPr>
                <w:sz w:val="17"/>
              </w:rPr>
              <w:t>Automated systems eliminate most human driving</w:t>
            </w:r>
          </w:p>
        </w:tc>
        <w:tc>
          <w:tcPr>
            <w:tcW w:type="dxa" w:w="720"/>
            <w:tcMar>
              <w:top w:w="55" w:type="dxa"/>
              <w:bottom w:w="55" w:type="dxa"/>
            </w:tcMar>
          </w:tcPr>
          <w:p>
            <w:pPr>
              <w:spacing w:after="40" w:before="20" w:line="240" w:lineRule="auto"/>
            </w:pPr>
            <w:r>
              <w:rPr>
                <w:sz w:val="17"/>
              </w:rPr>
              <w:t>2019</w:t>
            </w:r>
          </w:p>
        </w:tc>
        <w:tc>
          <w:tcPr>
            <w:tcW w:type="dxa" w:w="1440"/>
            <w:tcMar>
              <w:top w:w="55" w:type="dxa"/>
              <w:bottom w:w="55" w:type="dxa"/>
            </w:tcMar>
          </w:tcPr>
          <w:p>
            <w:pPr>
              <w:spacing w:after="40" w:before="20" w:line="240" w:lineRule="auto"/>
            </w:pPr>
            <w:r>
              <w:rPr>
                <w:sz w:val="17"/>
              </w:rPr>
              <w:t>WRONG / MISSED</w:t>
            </w:r>
          </w:p>
        </w:tc>
        <w:tc>
          <w:tcPr>
            <w:tcW w:type="dxa" w:w="2981"/>
            <w:tcMar>
              <w:top w:w="55" w:type="dxa"/>
              <w:bottom w:w="55" w:type="dxa"/>
            </w:tcMar>
          </w:tcPr>
          <w:p>
            <w:pPr>
              <w:spacing w:after="40" w:before="20" w:line="240" w:lineRule="auto"/>
            </w:pPr>
            <w:r>
              <w:rPr>
                <w:sz w:val="17"/>
              </w:rPr>
              <w:t>P02,O14,O24</w:t>
            </w:r>
          </w:p>
        </w:tc>
      </w:tr>
      <w:tr>
        <w:trPr>
          <w:cantSplit/>
        </w:trPr>
        <w:tc>
          <w:tcPr>
            <w:tcW w:type="dxa" w:w="691"/>
            <w:tcMar>
              <w:top w:w="55" w:type="dxa"/>
              <w:bottom w:w="55" w:type="dxa"/>
            </w:tcMar>
          </w:tcPr>
          <w:p>
            <w:pPr>
              <w:spacing w:after="40" w:before="20" w:line="240" w:lineRule="auto"/>
            </w:pPr>
            <w:r>
              <w:rPr>
                <w:sz w:val="17"/>
              </w:rPr>
              <w:t>K048</w:t>
            </w:r>
          </w:p>
        </w:tc>
        <w:tc>
          <w:tcPr>
            <w:tcW w:type="dxa" w:w="4320"/>
            <w:tcMar>
              <w:top w:w="55" w:type="dxa"/>
              <w:bottom w:w="55" w:type="dxa"/>
            </w:tcMar>
          </w:tcPr>
          <w:p>
            <w:pPr>
              <w:spacing w:after="40" w:before="20" w:line="240" w:lineRule="auto"/>
            </w:pPr>
            <w:r>
              <w:rPr>
                <w:sz w:val="17"/>
              </w:rPr>
              <w:t>Common many-language speech-to-speech translation</w:t>
            </w:r>
          </w:p>
        </w:tc>
        <w:tc>
          <w:tcPr>
            <w:tcW w:type="dxa" w:w="720"/>
            <w:tcMar>
              <w:top w:w="55" w:type="dxa"/>
              <w:bottom w:w="55" w:type="dxa"/>
            </w:tcMar>
          </w:tcPr>
          <w:p>
            <w:pPr>
              <w:spacing w:after="40" w:before="20" w:line="240" w:lineRule="auto"/>
            </w:pPr>
            <w:r>
              <w:rPr>
                <w:sz w:val="17"/>
              </w:rPr>
              <w:t>2009</w:t>
            </w:r>
          </w:p>
        </w:tc>
        <w:tc>
          <w:tcPr>
            <w:tcW w:type="dxa" w:w="1440"/>
            <w:tcMar>
              <w:top w:w="55" w:type="dxa"/>
              <w:bottom w:w="55" w:type="dxa"/>
            </w:tcMar>
          </w:tcPr>
          <w:p>
            <w:pPr>
              <w:spacing w:after="40" w:before="20" w:line="240" w:lineRule="auto"/>
            </w:pPr>
            <w:r>
              <w:rPr>
                <w:sz w:val="17"/>
              </w:rPr>
              <w:t>PARTIAL</w:t>
            </w:r>
          </w:p>
        </w:tc>
        <w:tc>
          <w:tcPr>
            <w:tcW w:type="dxa" w:w="2981"/>
            <w:tcMar>
              <w:top w:w="55" w:type="dxa"/>
              <w:bottom w:w="55" w:type="dxa"/>
            </w:tcMar>
          </w:tcPr>
          <w:p>
            <w:pPr>
              <w:spacing w:after="40" w:before="20" w:line="240" w:lineRule="auto"/>
            </w:pPr>
            <w:r>
              <w:rPr>
                <w:sz w:val="17"/>
              </w:rPr>
              <w:t>P01,O11,O12</w:t>
            </w:r>
          </w:p>
        </w:tc>
      </w:tr>
    </w:tbl>
    <w:p>
      <w:r>
        <w:t>K033 is deliberately qualified: comparing the 20-petaflop proxy yields a 2012 peak / 2013 measured milestone, about 3–4 years after 2009. It does not establish brain emulation. It is excluded from the default strict aggregate until a benchmark convention is adopted.</w:t>
      </w:r>
    </w:p>
    <w:p>
      <w:pPr>
        <w:pStyle w:val="Caption"/>
      </w:pPr>
      <w:r>
        <w:t>Default due cohort: 13 records = 2 CORRECT + 6 PARTIAL + 5 WRONG / MISSED. K033 is outside that denominator. Nine of those thirteen have no established date of full subsequent fulfillment; do not infer that a late realization has been ruled out.</w:t>
      </w:r>
    </w:p>
    <w:p>
      <w:r>
        <w:br w:type="page"/>
      </w:r>
    </w:p>
    <w:p>
      <w:pPr>
        <w:pStyle w:val="Heading1"/>
      </w:pPr>
      <w:r>
        <w:t>3. Future claims: pending, not pre-judged</w:t>
      </w:r>
    </w:p>
    <w:p>
      <w:r>
        <w:t>Fourteen sourced or contemporaneously reported future propositions are retained. PENDING only means the deadline has not passed and full fulfillment has not been established. It is not a probability forecast or an “on track” badge.</w:t>
      </w:r>
    </w:p>
    <w:tbl>
      <w:tblPr>
        <w:tblW w:type="auto" w:w="0"/>
        <w:tblLayout w:type="fixed"/>
        <w:tblLook w:firstColumn="1" w:firstRow="1" w:lastColumn="0" w:lastRow="0" w:noHBand="0" w:noVBand="1" w:val="04A0"/>
      </w:tblPr>
      <w:tblGrid>
        <w:gridCol w:w="691"/>
        <w:gridCol w:w="5414"/>
        <w:gridCol w:w="3211"/>
        <w:gridCol w:w="835"/>
      </w:tblGrid>
      <w:tr>
        <w:trPr>
          <w:tblHeader/>
          <w:cantSplit/>
        </w:trPr>
        <w:tc>
          <w:tcPr>
            <w:tcW w:type="dxa" w:w="691"/>
            <w:shd w:fill="E7EDE5"/>
            <w:tcMar>
              <w:top w:w="55" w:type="dxa"/>
              <w:bottom w:w="55" w:type="dxa"/>
            </w:tcMar>
          </w:tcPr>
          <w:p>
            <w:pPr>
              <w:spacing w:after="40" w:before="20" w:line="240" w:lineRule="auto"/>
            </w:pPr>
            <w:r>
              <w:rPr>
                <w:b/>
                <w:sz w:val="17"/>
              </w:rPr>
              <w:t>ID</w:t>
            </w:r>
          </w:p>
        </w:tc>
        <w:tc>
          <w:tcPr>
            <w:tcW w:type="dxa" w:w="5414"/>
            <w:shd w:fill="E7EDE5"/>
            <w:tcMar>
              <w:top w:w="55" w:type="dxa"/>
              <w:bottom w:w="55" w:type="dxa"/>
            </w:tcMar>
          </w:tcPr>
          <w:p>
            <w:pPr>
              <w:spacing w:after="40" w:before="20" w:line="240" w:lineRule="auto"/>
            </w:pPr>
            <w:r>
              <w:rPr>
                <w:b/>
                <w:sz w:val="17"/>
              </w:rPr>
              <w:t>Prediction</w:t>
            </w:r>
          </w:p>
        </w:tc>
        <w:tc>
          <w:tcPr>
            <w:tcW w:type="dxa" w:w="3211"/>
            <w:shd w:fill="E7EDE5"/>
            <w:tcMar>
              <w:top w:w="55" w:type="dxa"/>
              <w:bottom w:w="55" w:type="dxa"/>
            </w:tcMar>
          </w:tcPr>
          <w:p>
            <w:pPr>
              <w:spacing w:after="40" w:before="20" w:line="240" w:lineRule="auto"/>
            </w:pPr>
            <w:r>
              <w:rPr>
                <w:b/>
                <w:sz w:val="17"/>
              </w:rPr>
              <w:t>Target</w:t>
            </w:r>
          </w:p>
        </w:tc>
        <w:tc>
          <w:tcPr>
            <w:tcW w:type="dxa" w:w="835"/>
            <w:shd w:fill="E7EDE5"/>
            <w:tcMar>
              <w:top w:w="55" w:type="dxa"/>
              <w:bottom w:w="55" w:type="dxa"/>
            </w:tcMar>
          </w:tcPr>
          <w:p>
            <w:pPr>
              <w:spacing w:after="40" w:before="20" w:line="240" w:lineRule="auto"/>
            </w:pPr>
            <w:r>
              <w:rPr>
                <w:b/>
                <w:sz w:val="17"/>
              </w:rPr>
              <w:t>Source</w:t>
            </w:r>
          </w:p>
        </w:tc>
      </w:tr>
      <w:tr>
        <w:trPr>
          <w:cantSplit/>
        </w:trPr>
        <w:tc>
          <w:tcPr>
            <w:tcW w:type="dxa" w:w="691"/>
            <w:tcMar>
              <w:top w:w="55" w:type="dxa"/>
              <w:bottom w:w="55" w:type="dxa"/>
            </w:tcMar>
          </w:tcPr>
          <w:p>
            <w:pPr>
              <w:spacing w:after="40" w:before="20" w:line="240" w:lineRule="auto"/>
            </w:pPr>
            <w:r>
              <w:rPr>
                <w:sz w:val="17"/>
              </w:rPr>
              <w:t>K021</w:t>
            </w:r>
          </w:p>
        </w:tc>
        <w:tc>
          <w:tcPr>
            <w:tcW w:type="dxa" w:w="5414"/>
            <w:tcMar>
              <w:top w:w="55" w:type="dxa"/>
              <w:bottom w:w="55" w:type="dxa"/>
            </w:tcMar>
          </w:tcPr>
          <w:p>
            <w:pPr>
              <w:spacing w:after="40" w:before="20" w:line="240" w:lineRule="auto"/>
            </w:pPr>
            <w:r>
              <w:rPr>
                <w:sz w:val="17"/>
              </w:rPr>
              <w:t>Solar meets worldwide energy demand</w:t>
            </w:r>
          </w:p>
        </w:tc>
        <w:tc>
          <w:tcPr>
            <w:tcW w:type="dxa" w:w="3211"/>
            <w:tcMar>
              <w:top w:w="55" w:type="dxa"/>
              <w:bottom w:w="55" w:type="dxa"/>
            </w:tcMar>
          </w:tcPr>
          <w:p>
            <w:pPr>
              <w:spacing w:after="40" w:before="20" w:line="240" w:lineRule="auto"/>
            </w:pPr>
            <w:r>
              <w:rPr>
                <w:sz w:val="17"/>
              </w:rPr>
              <w:t>2028</w:t>
            </w:r>
          </w:p>
        </w:tc>
        <w:tc>
          <w:tcPr>
            <w:tcW w:type="dxa" w:w="835"/>
            <w:tcMar>
              <w:top w:w="55" w:type="dxa"/>
              <w:bottom w:w="55" w:type="dxa"/>
            </w:tcMar>
          </w:tcPr>
          <w:p>
            <w:pPr>
              <w:spacing w:after="40" w:before="20" w:line="240" w:lineRule="auto"/>
            </w:pPr>
            <w:r>
              <w:rPr>
                <w:sz w:val="17"/>
              </w:rPr>
              <w:t>P07</w:t>
            </w:r>
          </w:p>
        </w:tc>
      </w:tr>
      <w:tr>
        <w:trPr>
          <w:cantSplit/>
        </w:trPr>
        <w:tc>
          <w:tcPr>
            <w:tcW w:type="dxa" w:w="691"/>
            <w:tcMar>
              <w:top w:w="55" w:type="dxa"/>
              <w:bottom w:w="55" w:type="dxa"/>
            </w:tcMar>
          </w:tcPr>
          <w:p>
            <w:pPr>
              <w:spacing w:after="40" w:before="20" w:line="240" w:lineRule="auto"/>
            </w:pPr>
            <w:r>
              <w:rPr>
                <w:sz w:val="17"/>
              </w:rPr>
              <w:t>K022</w:t>
            </w:r>
          </w:p>
        </w:tc>
        <w:tc>
          <w:tcPr>
            <w:tcW w:type="dxa" w:w="5414"/>
            <w:tcMar>
              <w:top w:w="55" w:type="dxa"/>
              <w:bottom w:w="55" w:type="dxa"/>
            </w:tcMar>
          </w:tcPr>
          <w:p>
            <w:pPr>
              <w:spacing w:after="40" w:before="20" w:line="240" w:lineRule="auto"/>
            </w:pPr>
            <w:r>
              <w:rPr>
                <w:sz w:val="17"/>
              </w:rPr>
              <w:t>The Singularity and billionfold intelligence expansion</w:t>
            </w:r>
          </w:p>
        </w:tc>
        <w:tc>
          <w:tcPr>
            <w:tcW w:type="dxa" w:w="3211"/>
            <w:tcMar>
              <w:top w:w="55" w:type="dxa"/>
              <w:bottom w:w="55" w:type="dxa"/>
            </w:tcMar>
          </w:tcPr>
          <w:p>
            <w:pPr>
              <w:spacing w:after="40" w:before="20" w:line="240" w:lineRule="auto"/>
            </w:pPr>
            <w:r>
              <w:rPr>
                <w:sz w:val="17"/>
              </w:rPr>
              <w:t>2045</w:t>
            </w:r>
          </w:p>
        </w:tc>
        <w:tc>
          <w:tcPr>
            <w:tcW w:type="dxa" w:w="835"/>
            <w:tcMar>
              <w:top w:w="55" w:type="dxa"/>
              <w:bottom w:w="55" w:type="dxa"/>
            </w:tcMar>
          </w:tcPr>
          <w:p>
            <w:pPr>
              <w:spacing w:after="40" w:before="20" w:line="240" w:lineRule="auto"/>
            </w:pPr>
            <w:r>
              <w:rPr>
                <w:sz w:val="17"/>
              </w:rPr>
              <w:t>P04</w:t>
            </w:r>
          </w:p>
        </w:tc>
      </w:tr>
      <w:tr>
        <w:trPr>
          <w:cantSplit/>
        </w:trPr>
        <w:tc>
          <w:tcPr>
            <w:tcW w:type="dxa" w:w="691"/>
            <w:tcMar>
              <w:top w:w="55" w:type="dxa"/>
              <w:bottom w:w="55" w:type="dxa"/>
            </w:tcMar>
          </w:tcPr>
          <w:p>
            <w:pPr>
              <w:spacing w:after="40" w:before="20" w:line="240" w:lineRule="auto"/>
            </w:pPr>
            <w:r>
              <w:rPr>
                <w:sz w:val="17"/>
              </w:rPr>
              <w:t>K023</w:t>
            </w:r>
          </w:p>
        </w:tc>
        <w:tc>
          <w:tcPr>
            <w:tcW w:type="dxa" w:w="5414"/>
            <w:tcMar>
              <w:top w:w="55" w:type="dxa"/>
              <w:bottom w:w="55" w:type="dxa"/>
            </w:tcMar>
          </w:tcPr>
          <w:p>
            <w:pPr>
              <w:spacing w:after="40" w:before="20" w:line="240" w:lineRule="auto"/>
            </w:pPr>
            <w:r>
              <w:rPr>
                <w:sz w:val="17"/>
              </w:rPr>
              <w:t>The specific Kurzweil–Kapor Turing-test wager</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P03</w:t>
            </w:r>
          </w:p>
        </w:tc>
      </w:tr>
      <w:tr>
        <w:trPr>
          <w:cantSplit/>
        </w:trPr>
        <w:tc>
          <w:tcPr>
            <w:tcW w:type="dxa" w:w="691"/>
            <w:tcMar>
              <w:top w:w="55" w:type="dxa"/>
              <w:bottom w:w="55" w:type="dxa"/>
            </w:tcMar>
          </w:tcPr>
          <w:p>
            <w:pPr>
              <w:spacing w:after="40" w:before="20" w:line="240" w:lineRule="auto"/>
            </w:pPr>
            <w:r>
              <w:rPr>
                <w:sz w:val="17"/>
              </w:rPr>
              <w:t>K024</w:t>
            </w:r>
          </w:p>
        </w:tc>
        <w:tc>
          <w:tcPr>
            <w:tcW w:type="dxa" w:w="5414"/>
            <w:tcMar>
              <w:top w:w="55" w:type="dxa"/>
              <w:bottom w:w="55" w:type="dxa"/>
            </w:tcMar>
          </w:tcPr>
          <w:p>
            <w:pPr>
              <w:spacing w:after="40" w:before="20" w:line="240" w:lineRule="auto"/>
            </w:pPr>
            <w:r>
              <w:rPr>
                <w:sz w:val="17"/>
              </w:rPr>
              <w:t>Bloodstream nanobots for scouting and limited repair</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P02</w:t>
            </w:r>
          </w:p>
        </w:tc>
      </w:tr>
      <w:tr>
        <w:trPr>
          <w:cantSplit/>
        </w:trPr>
        <w:tc>
          <w:tcPr>
            <w:tcW w:type="dxa" w:w="691"/>
            <w:tcMar>
              <w:top w:w="55" w:type="dxa"/>
              <w:bottom w:w="55" w:type="dxa"/>
            </w:tcMar>
          </w:tcPr>
          <w:p>
            <w:pPr>
              <w:spacing w:after="40" w:before="20" w:line="240" w:lineRule="auto"/>
            </w:pPr>
            <w:r>
              <w:rPr>
                <w:sz w:val="17"/>
              </w:rPr>
              <w:t>K028</w:t>
            </w:r>
          </w:p>
        </w:tc>
        <w:tc>
          <w:tcPr>
            <w:tcW w:type="dxa" w:w="5414"/>
            <w:tcMar>
              <w:top w:w="55" w:type="dxa"/>
              <w:bottom w:w="55" w:type="dxa"/>
            </w:tcMar>
          </w:tcPr>
          <w:p>
            <w:pPr>
              <w:spacing w:after="40" w:before="20" w:line="240" w:lineRule="auto"/>
            </w:pPr>
            <w:r>
              <w:rPr>
                <w:sz w:val="17"/>
              </w:rPr>
              <w:t>Life expectancy reaches 120</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P02</w:t>
            </w:r>
          </w:p>
        </w:tc>
      </w:tr>
      <w:tr>
        <w:trPr>
          <w:cantSplit/>
        </w:trPr>
        <w:tc>
          <w:tcPr>
            <w:tcW w:type="dxa" w:w="691"/>
            <w:tcMar>
              <w:top w:w="55" w:type="dxa"/>
              <w:bottom w:w="55" w:type="dxa"/>
            </w:tcMar>
          </w:tcPr>
          <w:p>
            <w:pPr>
              <w:spacing w:after="40" w:before="20" w:line="240" w:lineRule="auto"/>
            </w:pPr>
            <w:r>
              <w:rPr>
                <w:sz w:val="17"/>
              </w:rPr>
              <w:t>K032</w:t>
            </w:r>
          </w:p>
        </w:tc>
        <w:tc>
          <w:tcPr>
            <w:tcW w:type="dxa" w:w="5414"/>
            <w:tcMar>
              <w:top w:w="55" w:type="dxa"/>
              <w:bottom w:w="55" w:type="dxa"/>
            </w:tcMar>
          </w:tcPr>
          <w:p>
            <w:pPr>
              <w:spacing w:after="40" w:before="20" w:line="240" w:lineRule="auto"/>
            </w:pPr>
            <w:r>
              <w:rPr>
                <w:sz w:val="17"/>
              </w:rPr>
              <w:t>High-bandwidth neural interfaces augment brain functions</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P02</w:t>
            </w:r>
          </w:p>
        </w:tc>
      </w:tr>
      <w:tr>
        <w:trPr>
          <w:cantSplit/>
        </w:trPr>
        <w:tc>
          <w:tcPr>
            <w:tcW w:type="dxa" w:w="691"/>
            <w:tcMar>
              <w:top w:w="55" w:type="dxa"/>
              <w:bottom w:w="55" w:type="dxa"/>
            </w:tcMar>
          </w:tcPr>
          <w:p>
            <w:pPr>
              <w:spacing w:after="40" w:before="20" w:line="240" w:lineRule="auto"/>
            </w:pPr>
            <w:r>
              <w:rPr>
                <w:sz w:val="17"/>
              </w:rPr>
              <w:t>K035</w:t>
            </w:r>
          </w:p>
        </w:tc>
        <w:tc>
          <w:tcPr>
            <w:tcW w:type="dxa" w:w="5414"/>
            <w:tcMar>
              <w:top w:w="55" w:type="dxa"/>
              <w:bottom w:w="55" w:type="dxa"/>
            </w:tcMar>
          </w:tcPr>
          <w:p>
            <w:pPr>
              <w:spacing w:after="40" w:before="20" w:line="240" w:lineRule="auto"/>
            </w:pPr>
            <w:r>
              <w:rPr>
                <w:sz w:val="17"/>
              </w:rPr>
              <w:t>Thousand-brain computation for a thousand dollars</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P02</w:t>
            </w:r>
          </w:p>
        </w:tc>
      </w:tr>
      <w:tr>
        <w:trPr>
          <w:cantSplit/>
        </w:trPr>
        <w:tc>
          <w:tcPr>
            <w:tcW w:type="dxa" w:w="691"/>
            <w:tcMar>
              <w:top w:w="55" w:type="dxa"/>
              <w:bottom w:w="55" w:type="dxa"/>
            </w:tcMar>
          </w:tcPr>
          <w:p>
            <w:pPr>
              <w:spacing w:after="40" w:before="20" w:line="240" w:lineRule="auto"/>
            </w:pPr>
            <w:r>
              <w:rPr>
                <w:sz w:val="17"/>
              </w:rPr>
              <w:t>K037</w:t>
            </w:r>
          </w:p>
        </w:tc>
        <w:tc>
          <w:tcPr>
            <w:tcW w:type="dxa" w:w="5414"/>
            <w:tcMar>
              <w:top w:w="55" w:type="dxa"/>
              <w:bottom w:w="55" w:type="dxa"/>
            </w:tcMar>
          </w:tcPr>
          <w:p>
            <w:pPr>
              <w:spacing w:after="40" w:before="20" w:line="240" w:lineRule="auto"/>
            </w:pPr>
            <w:r>
              <w:rPr>
                <w:sz w:val="17"/>
              </w:rPr>
              <w:t>Developed-world universal basic income</w:t>
            </w:r>
          </w:p>
        </w:tc>
        <w:tc>
          <w:tcPr>
            <w:tcW w:type="dxa" w:w="3211"/>
            <w:tcMar>
              <w:top w:w="55" w:type="dxa"/>
              <w:bottom w:w="55" w:type="dxa"/>
            </w:tcMar>
          </w:tcPr>
          <w:p>
            <w:pPr>
              <w:spacing w:after="40" w:before="20" w:line="240" w:lineRule="auto"/>
            </w:pPr>
            <w:r>
              <w:rPr>
                <w:sz w:val="17"/>
              </w:rPr>
              <w:t>early 2030s</w:t>
            </w:r>
          </w:p>
        </w:tc>
        <w:tc>
          <w:tcPr>
            <w:tcW w:type="dxa" w:w="835"/>
            <w:tcMar>
              <w:top w:w="55" w:type="dxa"/>
              <w:bottom w:w="55" w:type="dxa"/>
            </w:tcMar>
          </w:tcPr>
          <w:p>
            <w:pPr>
              <w:spacing w:after="40" w:before="20" w:line="240" w:lineRule="auto"/>
            </w:pPr>
            <w:r>
              <w:rPr>
                <w:sz w:val="17"/>
              </w:rPr>
              <w:t>P06</w:t>
            </w:r>
          </w:p>
        </w:tc>
      </w:tr>
      <w:tr>
        <w:trPr>
          <w:cantSplit/>
        </w:trPr>
        <w:tc>
          <w:tcPr>
            <w:tcW w:type="dxa" w:w="691"/>
            <w:tcMar>
              <w:top w:w="55" w:type="dxa"/>
              <w:bottom w:w="55" w:type="dxa"/>
            </w:tcMar>
          </w:tcPr>
          <w:p>
            <w:pPr>
              <w:spacing w:after="40" w:before="20" w:line="240" w:lineRule="auto"/>
            </w:pPr>
            <w:r>
              <w:rPr>
                <w:sz w:val="17"/>
              </w:rPr>
              <w:t>K038</w:t>
            </w:r>
          </w:p>
        </w:tc>
        <w:tc>
          <w:tcPr>
            <w:tcW w:type="dxa" w:w="5414"/>
            <w:tcMar>
              <w:top w:w="55" w:type="dxa"/>
              <w:bottom w:w="55" w:type="dxa"/>
            </w:tcMar>
          </w:tcPr>
          <w:p>
            <w:pPr>
              <w:spacing w:after="40" w:before="20" w:line="240" w:lineRule="auto"/>
            </w:pPr>
            <w:r>
              <w:rPr>
                <w:sz w:val="17"/>
              </w:rPr>
              <w:t>Worldwide universal basic income</w:t>
            </w:r>
          </w:p>
        </w:tc>
        <w:tc>
          <w:tcPr>
            <w:tcW w:type="dxa" w:w="3211"/>
            <w:tcMar>
              <w:top w:w="55" w:type="dxa"/>
              <w:bottom w:w="55" w:type="dxa"/>
            </w:tcMar>
          </w:tcPr>
          <w:p>
            <w:pPr>
              <w:spacing w:after="40" w:before="20" w:line="240" w:lineRule="auto"/>
            </w:pPr>
            <w:r>
              <w:rPr>
                <w:sz w:val="17"/>
              </w:rPr>
              <w:t>2039</w:t>
            </w:r>
          </w:p>
        </w:tc>
        <w:tc>
          <w:tcPr>
            <w:tcW w:type="dxa" w:w="835"/>
            <w:tcMar>
              <w:top w:w="55" w:type="dxa"/>
              <w:bottom w:w="55" w:type="dxa"/>
            </w:tcMar>
          </w:tcPr>
          <w:p>
            <w:pPr>
              <w:spacing w:after="40" w:before="20" w:line="240" w:lineRule="auto"/>
            </w:pPr>
            <w:r>
              <w:rPr>
                <w:sz w:val="17"/>
              </w:rPr>
              <w:t>P06</w:t>
            </w:r>
          </w:p>
        </w:tc>
      </w:tr>
      <w:tr>
        <w:trPr>
          <w:cantSplit/>
        </w:trPr>
        <w:tc>
          <w:tcPr>
            <w:tcW w:type="dxa" w:w="691"/>
            <w:tcMar>
              <w:top w:w="55" w:type="dxa"/>
              <w:bottom w:w="55" w:type="dxa"/>
            </w:tcMar>
          </w:tcPr>
          <w:p>
            <w:pPr>
              <w:spacing w:after="40" w:before="20" w:line="240" w:lineRule="auto"/>
            </w:pPr>
            <w:r>
              <w:rPr>
                <w:sz w:val="17"/>
              </w:rPr>
              <w:t>K042</w:t>
            </w:r>
          </w:p>
        </w:tc>
        <w:tc>
          <w:tcPr>
            <w:tcW w:type="dxa" w:w="5414"/>
            <w:tcMar>
              <w:top w:w="55" w:type="dxa"/>
              <w:bottom w:w="55" w:type="dxa"/>
            </w:tcMar>
          </w:tcPr>
          <w:p>
            <w:pPr>
              <w:spacing w:after="40" w:before="20" w:line="240" w:lineRule="auto"/>
            </w:pPr>
            <w:r>
              <w:rPr>
                <w:sz w:val="17"/>
              </w:rPr>
              <w:t>Longevity escape velocity</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P05</w:t>
            </w:r>
          </w:p>
        </w:tc>
      </w:tr>
      <w:tr>
        <w:trPr>
          <w:cantSplit/>
        </w:trPr>
        <w:tc>
          <w:tcPr>
            <w:tcW w:type="dxa" w:w="691"/>
            <w:tcMar>
              <w:top w:w="55" w:type="dxa"/>
              <w:bottom w:w="55" w:type="dxa"/>
            </w:tcMar>
          </w:tcPr>
          <w:p>
            <w:pPr>
              <w:spacing w:after="40" w:before="20" w:line="240" w:lineRule="auto"/>
            </w:pPr>
            <w:r>
              <w:rPr>
                <w:sz w:val="17"/>
              </w:rPr>
              <w:t>K043</w:t>
            </w:r>
          </w:p>
        </w:tc>
        <w:tc>
          <w:tcPr>
            <w:tcW w:type="dxa" w:w="5414"/>
            <w:tcMar>
              <w:top w:w="55" w:type="dxa"/>
              <w:bottom w:w="55" w:type="dxa"/>
            </w:tcMar>
          </w:tcPr>
          <w:p>
            <w:pPr>
              <w:spacing w:after="40" w:before="20" w:line="240" w:lineRule="auto"/>
            </w:pPr>
            <w:r>
              <w:rPr>
                <w:sz w:val="17"/>
              </w:rPr>
              <w:t>Brain-to-cloud cognitive integration</w:t>
            </w:r>
          </w:p>
        </w:tc>
        <w:tc>
          <w:tcPr>
            <w:tcW w:type="dxa" w:w="3211"/>
            <w:tcMar>
              <w:top w:w="55" w:type="dxa"/>
              <w:bottom w:w="55" w:type="dxa"/>
            </w:tcMar>
          </w:tcPr>
          <w:p>
            <w:pPr>
              <w:spacing w:after="40" w:before="20" w:line="240" w:lineRule="auto"/>
            </w:pPr>
            <w:r>
              <w:rPr>
                <w:sz w:val="17"/>
              </w:rPr>
              <w:t>early 2030s</w:t>
            </w:r>
          </w:p>
        </w:tc>
        <w:tc>
          <w:tcPr>
            <w:tcW w:type="dxa" w:w="835"/>
            <w:tcMar>
              <w:top w:w="55" w:type="dxa"/>
              <w:bottom w:w="55" w:type="dxa"/>
            </w:tcMar>
          </w:tcPr>
          <w:p>
            <w:pPr>
              <w:spacing w:after="40" w:before="20" w:line="240" w:lineRule="auto"/>
            </w:pPr>
            <w:r>
              <w:rPr>
                <w:sz w:val="17"/>
              </w:rPr>
              <w:t>P05</w:t>
            </w:r>
          </w:p>
        </w:tc>
      </w:tr>
      <w:tr>
        <w:trPr>
          <w:cantSplit/>
        </w:trPr>
        <w:tc>
          <w:tcPr>
            <w:tcW w:type="dxa" w:w="691"/>
            <w:tcMar>
              <w:top w:w="55" w:type="dxa"/>
              <w:bottom w:w="55" w:type="dxa"/>
            </w:tcMar>
          </w:tcPr>
          <w:p>
            <w:pPr>
              <w:spacing w:after="40" w:before="20" w:line="240" w:lineRule="auto"/>
            </w:pPr>
            <w:r>
              <w:rPr>
                <w:sz w:val="17"/>
              </w:rPr>
              <w:t>K044</w:t>
            </w:r>
          </w:p>
        </w:tc>
        <w:tc>
          <w:tcPr>
            <w:tcW w:type="dxa" w:w="5414"/>
            <w:tcMar>
              <w:top w:w="55" w:type="dxa"/>
              <w:bottom w:w="55" w:type="dxa"/>
            </w:tcMar>
          </w:tcPr>
          <w:p>
            <w:pPr>
              <w:spacing w:after="40" w:before="20" w:line="240" w:lineRule="auto"/>
            </w:pPr>
            <w:r>
              <w:rPr>
                <w:sz w:val="17"/>
              </w:rPr>
              <w:t>Renewable electricity reaches the full-demand threshold</w:t>
            </w:r>
          </w:p>
        </w:tc>
        <w:tc>
          <w:tcPr>
            <w:tcW w:type="dxa" w:w="3211"/>
            <w:tcMar>
              <w:top w:w="55" w:type="dxa"/>
              <w:bottom w:w="55" w:type="dxa"/>
            </w:tcMar>
          </w:tcPr>
          <w:p>
            <w:pPr>
              <w:spacing w:after="40" w:before="20" w:line="240" w:lineRule="auto"/>
            </w:pPr>
            <w:r>
              <w:rPr>
                <w:sz w:val="17"/>
              </w:rPr>
              <w:t>within 10 years of March 2024</w:t>
            </w:r>
          </w:p>
        </w:tc>
        <w:tc>
          <w:tcPr>
            <w:tcW w:type="dxa" w:w="835"/>
            <w:tcMar>
              <w:top w:w="55" w:type="dxa"/>
              <w:bottom w:w="55" w:type="dxa"/>
            </w:tcMar>
          </w:tcPr>
          <w:p>
            <w:pPr>
              <w:spacing w:after="40" w:before="20" w:line="240" w:lineRule="auto"/>
            </w:pPr>
            <w:r>
              <w:rPr>
                <w:sz w:val="17"/>
              </w:rPr>
              <w:t>P05</w:t>
            </w:r>
          </w:p>
        </w:tc>
      </w:tr>
      <w:tr>
        <w:trPr>
          <w:cantSplit/>
        </w:trPr>
        <w:tc>
          <w:tcPr>
            <w:tcW w:type="dxa" w:w="691"/>
            <w:tcMar>
              <w:top w:w="55" w:type="dxa"/>
              <w:bottom w:w="55" w:type="dxa"/>
            </w:tcMar>
          </w:tcPr>
          <w:p>
            <w:pPr>
              <w:spacing w:after="40" w:before="20" w:line="240" w:lineRule="auto"/>
            </w:pPr>
            <w:r>
              <w:rPr>
                <w:sz w:val="17"/>
              </w:rPr>
              <w:t>K045</w:t>
            </w:r>
          </w:p>
        </w:tc>
        <w:tc>
          <w:tcPr>
            <w:tcW w:type="dxa" w:w="5414"/>
            <w:tcMar>
              <w:top w:w="55" w:type="dxa"/>
              <w:bottom w:w="55" w:type="dxa"/>
            </w:tcMar>
          </w:tcPr>
          <w:p>
            <w:pPr>
              <w:spacing w:after="40" w:before="20" w:line="240" w:lineRule="auto"/>
            </w:pPr>
            <w:r>
              <w:rPr>
                <w:sz w:val="17"/>
              </w:rPr>
              <w:t>Human-level AI by the end of the 2020s</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P04</w:t>
            </w:r>
          </w:p>
        </w:tc>
      </w:tr>
      <w:tr>
        <w:trPr>
          <w:cantSplit/>
        </w:trPr>
        <w:tc>
          <w:tcPr>
            <w:tcW w:type="dxa" w:w="691"/>
            <w:tcMar>
              <w:top w:w="55" w:type="dxa"/>
              <w:bottom w:w="55" w:type="dxa"/>
            </w:tcMar>
          </w:tcPr>
          <w:p>
            <w:pPr>
              <w:spacing w:after="40" w:before="20" w:line="240" w:lineRule="auto"/>
            </w:pPr>
            <w:r>
              <w:rPr>
                <w:sz w:val="17"/>
              </w:rPr>
              <w:t>K049</w:t>
            </w:r>
          </w:p>
        </w:tc>
        <w:tc>
          <w:tcPr>
            <w:tcW w:type="dxa" w:w="5414"/>
            <w:tcMar>
              <w:top w:w="55" w:type="dxa"/>
              <w:bottom w:w="55" w:type="dxa"/>
            </w:tcMar>
          </w:tcPr>
          <w:p>
            <w:pPr>
              <w:spacing w:after="40" w:before="20" w:line="240" w:lineRule="auto"/>
            </w:pPr>
            <w:r>
              <w:rPr>
                <w:sz w:val="17"/>
              </w:rPr>
              <w:t>Ubiquitous bidirectional cochlear network interfaces</w:t>
            </w:r>
          </w:p>
        </w:tc>
        <w:tc>
          <w:tcPr>
            <w:tcW w:type="dxa" w:w="3211"/>
            <w:tcMar>
              <w:top w:w="55" w:type="dxa"/>
              <w:bottom w:w="55" w:type="dxa"/>
            </w:tcMar>
          </w:tcPr>
          <w:p>
            <w:pPr>
              <w:spacing w:after="40" w:before="20" w:line="240" w:lineRule="auto"/>
            </w:pPr>
            <w:r>
              <w:rPr>
                <w:sz w:val="17"/>
              </w:rPr>
              <w:t>2029</w:t>
            </w:r>
          </w:p>
        </w:tc>
        <w:tc>
          <w:tcPr>
            <w:tcW w:type="dxa" w:w="835"/>
            <w:tcMar>
              <w:top w:w="55" w:type="dxa"/>
              <w:bottom w:w="55" w:type="dxa"/>
            </w:tcMar>
          </w:tcPr>
          <w:p>
            <w:pPr>
              <w:spacing w:after="40" w:before="20" w:line="240" w:lineRule="auto"/>
            </w:pPr>
            <w:r>
              <w:rPr>
                <w:sz w:val="17"/>
              </w:rPr>
              <w:t>P02</w:t>
            </w:r>
          </w:p>
        </w:tc>
      </w:tr>
    </w:tbl>
    <w:p>
      <w:r>
        <w:t>Keep a benchmark-readiness warning for concepts such as the Singularity, brain-equivalent operations and longevity escape velocity. Early-decade intervals remain intervals; do not invent an exact January 1 deadline. The UBI and solar event attributions are lower-confidence than a checked primary transcript.</w:t>
      </w:r>
    </w:p>
    <w:p>
      <w:pPr>
        <w:pStyle w:val="Caption"/>
      </w:pPr>
      <w:r>
        <w:t xml:space="preserve">Evidence: </w:t>
      </w:r>
      <w:hyperlink r:id="rId11">
        <w:r>
          <w:rPr>
            <w:color w:val="284B3B"/>
            <w:sz w:val="16"/>
          </w:rPr>
          <w:t>P03 Long Bets #1 — Kapor/Kurzweil Turing-test agreement</w:t>
        </w:r>
      </w:hyperlink>
      <w:r>
        <w:t xml:space="preserve"> · </w:t>
      </w:r>
      <w:hyperlink r:id="rId12">
        <w:r>
          <w:rPr>
            <w:color w:val="284B3B"/>
            <w:sz w:val="16"/>
          </w:rPr>
          <w:t>P05 AI escape velocity: A conversation with Ray Kurzweil</w:t>
        </w:r>
      </w:hyperlink>
      <w:r>
        <w:t xml:space="preserve"> · </w:t>
      </w:r>
      <w:hyperlink r:id="rId13">
        <w:r>
          <w:rPr>
            <w:color w:val="284B3B"/>
            <w:sz w:val="16"/>
          </w:rPr>
          <w:t>P06 Ray Kurzweil: Universal basic income will arrive in the 2030s</w:t>
        </w:r>
      </w:hyperlink>
      <w:r>
        <w:t xml:space="preserve"> · </w:t>
      </w:r>
      <w:hyperlink r:id="rId14">
        <w:r>
          <w:rPr>
            <w:color w:val="284B3B"/>
            <w:sz w:val="16"/>
          </w:rPr>
          <w:t>P07 Solar power to rule in 20 years, futurists say</w:t>
        </w:r>
      </w:hyperlink>
    </w:p>
    <w:p>
      <w:r>
        <w:br w:type="page"/>
      </w:r>
    </w:p>
    <w:p>
      <w:pPr>
        <w:pStyle w:val="Heading1"/>
      </w:pPr>
      <w:r>
        <w:t>4. What is still withheld</w:t>
      </w:r>
    </w:p>
    <w:p>
      <w:r>
        <w:t>Fifteen records have confirmed text in a listed source but incomplete outcome/criterion work. Chess has a confirmed outcome but unresolved historical deadline attribution. Six assessed records are intrinsically unscorable under the present rule set.</w:t>
      </w:r>
    </w:p>
    <w:tbl>
      <w:tblPr>
        <w:tblW w:type="auto" w:w="0"/>
        <w:tblLayout w:type="fixed"/>
        <w:tblLook w:firstColumn="1" w:firstRow="1" w:lastColumn="0" w:lastRow="0" w:noHBand="0" w:noVBand="1" w:val="04A0"/>
      </w:tblPr>
      <w:tblGrid>
        <w:gridCol w:w="720"/>
        <w:gridCol w:w="5818"/>
        <w:gridCol w:w="3614"/>
      </w:tblGrid>
      <w:tr>
        <w:trPr>
          <w:tblHeader/>
          <w:cantSplit/>
        </w:trPr>
        <w:tc>
          <w:tcPr>
            <w:tcW w:type="dxa" w:w="720"/>
            <w:shd w:fill="E7EDE5"/>
            <w:tcMar>
              <w:top w:w="55" w:type="dxa"/>
              <w:bottom w:w="55" w:type="dxa"/>
            </w:tcMar>
          </w:tcPr>
          <w:p>
            <w:pPr>
              <w:spacing w:after="40" w:before="20" w:line="240" w:lineRule="auto"/>
            </w:pPr>
            <w:r>
              <w:rPr>
                <w:b/>
                <w:sz w:val="16"/>
              </w:rPr>
              <w:t>ID</w:t>
            </w:r>
          </w:p>
        </w:tc>
        <w:tc>
          <w:tcPr>
            <w:tcW w:type="dxa" w:w="5818"/>
            <w:shd w:fill="E7EDE5"/>
            <w:tcMar>
              <w:top w:w="55" w:type="dxa"/>
              <w:bottom w:w="55" w:type="dxa"/>
            </w:tcMar>
          </w:tcPr>
          <w:p>
            <w:pPr>
              <w:spacing w:after="40" w:before="20" w:line="240" w:lineRule="auto"/>
            </w:pPr>
            <w:r>
              <w:rPr>
                <w:b/>
                <w:sz w:val="16"/>
              </w:rPr>
              <w:t>Prediction</w:t>
            </w:r>
          </w:p>
        </w:tc>
        <w:tc>
          <w:tcPr>
            <w:tcW w:type="dxa" w:w="3614"/>
            <w:shd w:fill="E7EDE5"/>
            <w:tcMar>
              <w:top w:w="55" w:type="dxa"/>
              <w:bottom w:w="55" w:type="dxa"/>
            </w:tcMar>
          </w:tcPr>
          <w:p>
            <w:pPr>
              <w:spacing w:after="40" w:before="20" w:line="240" w:lineRule="auto"/>
            </w:pPr>
            <w:r>
              <w:rPr>
                <w:b/>
                <w:sz w:val="16"/>
              </w:rPr>
              <w:t>Why no deadline grade</w:t>
            </w:r>
          </w:p>
        </w:tc>
      </w:tr>
      <w:tr>
        <w:trPr>
          <w:cantSplit/>
        </w:trPr>
        <w:tc>
          <w:tcPr>
            <w:tcW w:type="dxa" w:w="720"/>
            <w:tcMar>
              <w:top w:w="55" w:type="dxa"/>
              <w:bottom w:w="55" w:type="dxa"/>
            </w:tcMar>
          </w:tcPr>
          <w:p>
            <w:pPr>
              <w:spacing w:after="40" w:before="20" w:line="240" w:lineRule="auto"/>
            </w:pPr>
            <w:r>
              <w:rPr>
                <w:sz w:val="16"/>
              </w:rPr>
              <w:t>K001</w:t>
            </w:r>
          </w:p>
        </w:tc>
        <w:tc>
          <w:tcPr>
            <w:tcW w:type="dxa" w:w="5818"/>
            <w:tcMar>
              <w:top w:w="55" w:type="dxa"/>
              <w:bottom w:w="55" w:type="dxa"/>
            </w:tcMar>
          </w:tcPr>
          <w:p>
            <w:pPr>
              <w:spacing w:after="40" w:before="20" w:line="240" w:lineRule="auto"/>
            </w:pPr>
            <w:r>
              <w:rPr>
                <w:sz w:val="16"/>
              </w:rPr>
              <w:t>Chess champion: resolve the original deadline</w:t>
            </w:r>
          </w:p>
        </w:tc>
        <w:tc>
          <w:tcPr>
            <w:tcW w:type="dxa" w:w="3614"/>
            <w:tcMar>
              <w:top w:w="55" w:type="dxa"/>
              <w:bottom w:w="55" w:type="dxa"/>
            </w:tcMar>
          </w:tcPr>
          <w:p>
            <w:pPr>
              <w:spacing w:after="40" w:before="20" w:line="240" w:lineRule="auto"/>
            </w:pPr>
            <w:r>
              <w:rPr>
                <w:sz w:val="16"/>
              </w:rPr>
              <w:t>Deadline conflict</w:t>
            </w:r>
          </w:p>
        </w:tc>
      </w:tr>
      <w:tr>
        <w:trPr>
          <w:cantSplit/>
        </w:trPr>
        <w:tc>
          <w:tcPr>
            <w:tcW w:type="dxa" w:w="720"/>
            <w:tcMar>
              <w:top w:w="55" w:type="dxa"/>
              <w:bottom w:w="55" w:type="dxa"/>
            </w:tcMar>
          </w:tcPr>
          <w:p>
            <w:pPr>
              <w:spacing w:after="40" w:before="20" w:line="240" w:lineRule="auto"/>
            </w:pPr>
            <w:r>
              <w:rPr>
                <w:sz w:val="16"/>
              </w:rPr>
              <w:t>K003</w:t>
            </w:r>
          </w:p>
        </w:tc>
        <w:tc>
          <w:tcPr>
            <w:tcW w:type="dxa" w:w="5818"/>
            <w:tcMar>
              <w:top w:w="55" w:type="dxa"/>
              <w:bottom w:w="55" w:type="dxa"/>
            </w:tcMar>
          </w:tcPr>
          <w:p>
            <w:pPr>
              <w:spacing w:after="40" w:before="20" w:line="240" w:lineRule="auto"/>
            </w:pPr>
            <w:r>
              <w:rPr>
                <w:sz w:val="16"/>
              </w:rPr>
              <w:t>Computers embedded in clothing and jewelry</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K004</w:t>
            </w:r>
          </w:p>
        </w:tc>
        <w:tc>
          <w:tcPr>
            <w:tcW w:type="dxa" w:w="5818"/>
            <w:tcMar>
              <w:top w:w="55" w:type="dxa"/>
              <w:bottom w:w="55" w:type="dxa"/>
            </w:tcMar>
          </w:tcPr>
          <w:p>
            <w:pPr>
              <w:spacing w:after="40" w:before="20" w:line="240" w:lineRule="auto"/>
            </w:pPr>
            <w:r>
              <w:rPr>
                <w:sz w:val="16"/>
              </w:rPr>
              <w:t>At least a dozen body-networked computers</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K005</w:t>
            </w:r>
          </w:p>
        </w:tc>
        <w:tc>
          <w:tcPr>
            <w:tcW w:type="dxa" w:w="5818"/>
            <w:tcMar>
              <w:top w:w="55" w:type="dxa"/>
              <w:bottom w:w="55" w:type="dxa"/>
            </w:tcMar>
          </w:tcPr>
          <w:p>
            <w:pPr>
              <w:spacing w:after="40" w:before="20" w:line="240" w:lineRule="auto"/>
            </w:pPr>
            <w:r>
              <w:rPr>
                <w:sz w:val="16"/>
              </w:rPr>
              <w:t>Personal devices largely without moving parts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K006</w:t>
            </w:r>
          </w:p>
        </w:tc>
        <w:tc>
          <w:tcPr>
            <w:tcW w:type="dxa" w:w="5818"/>
            <w:tcMar>
              <w:top w:w="55" w:type="dxa"/>
              <w:bottom w:w="55" w:type="dxa"/>
            </w:tcMar>
          </w:tcPr>
          <w:p>
            <w:pPr>
              <w:spacing w:after="40" w:before="20" w:line="240" w:lineRule="auto"/>
            </w:pPr>
            <w:r>
              <w:rPr>
                <w:sz w:val="16"/>
              </w:rPr>
              <w:t>Most portable computers lack keyboards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K007</w:t>
            </w:r>
          </w:p>
        </w:tc>
        <w:tc>
          <w:tcPr>
            <w:tcW w:type="dxa" w:w="5818"/>
            <w:tcMar>
              <w:top w:w="55" w:type="dxa"/>
              <w:bottom w:w="55" w:type="dxa"/>
            </w:tcMar>
          </w:tcPr>
          <w:p>
            <w:pPr>
              <w:spacing w:after="40" w:before="20" w:line="240" w:lineRule="auto"/>
            </w:pPr>
            <w:r>
              <w:rPr>
                <w:sz w:val="16"/>
              </w:rPr>
              <w:t>Home and office servers for most users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K014</w:t>
            </w:r>
          </w:p>
        </w:tc>
        <w:tc>
          <w:tcPr>
            <w:tcW w:type="dxa" w:w="5818"/>
            <w:tcMar>
              <w:top w:w="55" w:type="dxa"/>
              <w:bottom w:w="55" w:type="dxa"/>
            </w:tcMar>
          </w:tcPr>
          <w:p>
            <w:pPr>
              <w:spacing w:after="40" w:before="20" w:line="240" w:lineRule="auto"/>
            </w:pPr>
            <w:r>
              <w:rPr>
                <w:sz w:val="16"/>
              </w:rPr>
              <w:t>See-through glasses with direct retinal projection</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K015</w:t>
            </w:r>
          </w:p>
        </w:tc>
        <w:tc>
          <w:tcPr>
            <w:tcW w:type="dxa" w:w="5818"/>
            <w:tcMar>
              <w:top w:w="55" w:type="dxa"/>
              <w:bottom w:w="55" w:type="dxa"/>
            </w:tcMar>
          </w:tcPr>
          <w:p>
            <w:pPr>
              <w:spacing w:after="40" w:before="20" w:line="240" w:lineRule="auto"/>
            </w:pPr>
            <w:r>
              <w:rPr>
                <w:sz w:val="16"/>
              </w:rPr>
              <w:t>Glasses and contact-lens displays in the 2010s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K016</w:t>
            </w:r>
          </w:p>
        </w:tc>
        <w:tc>
          <w:tcPr>
            <w:tcW w:type="dxa" w:w="5818"/>
            <w:tcMar>
              <w:top w:w="55" w:type="dxa"/>
              <w:bottom w:w="55" w:type="dxa"/>
            </w:tcMar>
          </w:tcPr>
          <w:p>
            <w:pPr>
              <w:spacing w:after="40" w:before="20" w:line="240" w:lineRule="auto"/>
            </w:pPr>
            <w:r>
              <w:rPr>
                <w:sz w:val="16"/>
              </w:rPr>
              <w:t>Tiny devices project auditory environments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K017</w:t>
            </w:r>
          </w:p>
        </w:tc>
        <w:tc>
          <w:tcPr>
            <w:tcW w:type="dxa" w:w="5818"/>
            <w:tcMar>
              <w:top w:w="55" w:type="dxa"/>
              <w:bottom w:w="55" w:type="dxa"/>
            </w:tcMar>
          </w:tcPr>
          <w:p>
            <w:pPr>
              <w:spacing w:after="40" w:before="20" w:line="240" w:lineRule="auto"/>
            </w:pPr>
            <w:r>
              <w:rPr>
                <w:sz w:val="16"/>
              </w:rPr>
              <w:t>Anytime immersive audiovisual virtual reality</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K018</w:t>
            </w:r>
          </w:p>
        </w:tc>
        <w:tc>
          <w:tcPr>
            <w:tcW w:type="dxa" w:w="5818"/>
            <w:tcMar>
              <w:top w:w="55" w:type="dxa"/>
              <w:bottom w:w="55" w:type="dxa"/>
            </w:tcMar>
          </w:tcPr>
          <w:p>
            <w:pPr>
              <w:spacing w:after="40" w:before="20" w:line="240" w:lineRule="auto"/>
            </w:pPr>
            <w:r>
              <w:rPr>
                <w:sz w:val="16"/>
              </w:rPr>
              <w:t>Augmented-reality overlays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K020</w:t>
            </w:r>
          </w:p>
        </w:tc>
        <w:tc>
          <w:tcPr>
            <w:tcW w:type="dxa" w:w="5818"/>
            <w:tcMar>
              <w:top w:w="55" w:type="dxa"/>
              <w:bottom w:w="55" w:type="dxa"/>
            </w:tcMar>
          </w:tcPr>
          <w:p>
            <w:pPr>
              <w:spacing w:after="40" w:before="20" w:line="240" w:lineRule="auto"/>
            </w:pPr>
            <w:r>
              <w:rPr>
                <w:sz w:val="16"/>
              </w:rPr>
              <w:t>Unmanned aircraft dominate warfare</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K025</w:t>
            </w:r>
          </w:p>
        </w:tc>
        <w:tc>
          <w:tcPr>
            <w:tcW w:type="dxa" w:w="5818"/>
            <w:tcMar>
              <w:top w:w="55" w:type="dxa"/>
              <w:bottom w:w="55" w:type="dxa"/>
            </w:tcMar>
          </w:tcPr>
          <w:p>
            <w:pPr>
              <w:spacing w:after="40" w:before="20" w:line="240" w:lineRule="auto"/>
            </w:pPr>
            <w:r>
              <w:rPr>
                <w:sz w:val="16"/>
              </w:rPr>
              <w:t>A thousand-dollar brain-capacity computer in 2020</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K029</w:t>
            </w:r>
          </w:p>
        </w:tc>
        <w:tc>
          <w:tcPr>
            <w:tcW w:type="dxa" w:w="5818"/>
            <w:tcMar>
              <w:top w:w="55" w:type="dxa"/>
              <w:bottom w:w="55" w:type="dxa"/>
            </w:tcMar>
          </w:tcPr>
          <w:p>
            <w:pPr>
              <w:spacing w:after="40" w:before="20" w:line="240" w:lineRule="auto"/>
            </w:pPr>
            <w:r>
              <w:rPr>
                <w:sz w:val="16"/>
              </w:rPr>
              <w:t>Gesture and spoken language become dominant input</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K030</w:t>
            </w:r>
          </w:p>
        </w:tc>
        <w:tc>
          <w:tcPr>
            <w:tcW w:type="dxa" w:w="5818"/>
            <w:tcMar>
              <w:top w:w="55" w:type="dxa"/>
              <w:bottom w:w="55" w:type="dxa"/>
            </w:tcMar>
          </w:tcPr>
          <w:p>
            <w:pPr>
              <w:spacing w:after="40" w:before="20" w:line="240" w:lineRule="auto"/>
            </w:pPr>
            <w:r>
              <w:rPr>
                <w:sz w:val="16"/>
              </w:rPr>
              <w:t>Routine high-acuity retinal displays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K031</w:t>
            </w:r>
          </w:p>
        </w:tc>
        <w:tc>
          <w:tcPr>
            <w:tcW w:type="dxa" w:w="5818"/>
            <w:tcMar>
              <w:top w:w="55" w:type="dxa"/>
              <w:bottom w:w="55" w:type="dxa"/>
            </w:tcMar>
          </w:tcPr>
          <w:p>
            <w:pPr>
              <w:spacing w:after="40" w:before="20" w:line="240" w:lineRule="auto"/>
            </w:pPr>
            <w:r>
              <w:rPr>
                <w:sz w:val="16"/>
              </w:rPr>
              <w:t>Convincing full-body tactile virtual reality</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K034</w:t>
            </w:r>
          </w:p>
        </w:tc>
        <w:tc>
          <w:tcPr>
            <w:tcW w:type="dxa" w:w="5818"/>
            <w:tcMar>
              <w:top w:w="55" w:type="dxa"/>
              <w:bottom w:w="55" w:type="dxa"/>
            </w:tcMar>
          </w:tcPr>
          <w:p>
            <w:pPr>
              <w:spacing w:after="40" w:before="20" w:line="240" w:lineRule="auto"/>
            </w:pPr>
            <w:r>
              <w:rPr>
                <w:sz w:val="16"/>
              </w:rPr>
              <w:t>The 2019 thousand-dollar brain-compute estimate</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K036</w:t>
            </w:r>
          </w:p>
        </w:tc>
        <w:tc>
          <w:tcPr>
            <w:tcW w:type="dxa" w:w="5818"/>
            <w:tcMar>
              <w:top w:w="55" w:type="dxa"/>
              <w:bottom w:w="55" w:type="dxa"/>
            </w:tcMar>
          </w:tcPr>
          <w:p>
            <w:pPr>
              <w:spacing w:after="40" w:before="20" w:line="240" w:lineRule="auto"/>
            </w:pPr>
            <w:r>
              <w:rPr>
                <w:sz w:val="16"/>
              </w:rPr>
              <w:t>Effective models of all brain regions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K039</w:t>
            </w:r>
          </w:p>
        </w:tc>
        <w:tc>
          <w:tcPr>
            <w:tcW w:type="dxa" w:w="5818"/>
            <w:tcMar>
              <w:top w:w="55" w:type="dxa"/>
              <w:bottom w:w="55" w:type="dxa"/>
            </w:tcMar>
          </w:tcPr>
          <w:p>
            <w:pPr>
              <w:spacing w:after="40" w:before="20" w:line="240" w:lineRule="auto"/>
            </w:pPr>
            <w:r>
              <w:rPr>
                <w:sz w:val="16"/>
              </w:rPr>
              <w:t>Nonlinear electronic documents</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K040</w:t>
            </w:r>
          </w:p>
        </w:tc>
        <w:tc>
          <w:tcPr>
            <w:tcW w:type="dxa" w:w="5818"/>
            <w:tcMar>
              <w:top w:w="55" w:type="dxa"/>
              <w:bottom w:w="55" w:type="dxa"/>
            </w:tcMar>
          </w:tcPr>
          <w:p>
            <w:pPr>
              <w:spacing w:after="40" w:before="20" w:line="240" w:lineRule="auto"/>
            </w:pPr>
            <w:r>
              <w:rPr>
                <w:sz w:val="16"/>
              </w:rPr>
              <w:t>Information technology pressures authoritarian control</w:t>
            </w:r>
          </w:p>
        </w:tc>
        <w:tc>
          <w:tcPr>
            <w:tcW w:type="dxa" w:w="3614"/>
            <w:tcMar>
              <w:top w:w="55" w:type="dxa"/>
              <w:bottom w:w="55" w:type="dxa"/>
            </w:tcMar>
          </w:tcPr>
          <w:p>
            <w:pPr>
              <w:spacing w:after="40" w:before="20" w:line="240" w:lineRule="auto"/>
            </w:pPr>
            <w:r>
              <w:rPr>
                <w:sz w:val="16"/>
              </w:rPr>
              <w:t>Criterion/date not operational</w:t>
            </w:r>
          </w:p>
        </w:tc>
      </w:tr>
      <w:tr>
        <w:trPr>
          <w:cantSplit/>
        </w:trPr>
        <w:tc>
          <w:tcPr>
            <w:tcW w:type="dxa" w:w="720"/>
            <w:tcMar>
              <w:top w:w="55" w:type="dxa"/>
              <w:bottom w:w="55" w:type="dxa"/>
            </w:tcMar>
          </w:tcPr>
          <w:p>
            <w:pPr>
              <w:spacing w:after="40" w:before="20" w:line="240" w:lineRule="auto"/>
            </w:pPr>
            <w:r>
              <w:rPr>
                <w:sz w:val="16"/>
              </w:rPr>
              <w:t>K046</w:t>
            </w:r>
          </w:p>
        </w:tc>
        <w:tc>
          <w:tcPr>
            <w:tcW w:type="dxa" w:w="5818"/>
            <w:tcMar>
              <w:top w:w="55" w:type="dxa"/>
              <w:bottom w:w="55" w:type="dxa"/>
            </w:tcMar>
          </w:tcPr>
          <w:p>
            <w:pPr>
              <w:spacing w:after="40" w:before="20" w:line="240" w:lineRule="auto"/>
            </w:pPr>
            <w:r>
              <w:rPr>
                <w:sz w:val="16"/>
              </w:rPr>
              <w:t>Portable computers in many tiny form factors</w:t>
            </w:r>
          </w:p>
        </w:tc>
        <w:tc>
          <w:tcPr>
            <w:tcW w:type="dxa" w:w="3614"/>
            <w:tcMar>
              <w:top w:w="55" w:type="dxa"/>
              <w:bottom w:w="55" w:type="dxa"/>
            </w:tcMar>
          </w:tcPr>
          <w:p>
            <w:pPr>
              <w:spacing w:after="40" w:before="20" w:line="240" w:lineRule="auto"/>
            </w:pPr>
            <w:r>
              <w:rPr>
                <w:sz w:val="16"/>
              </w:rPr>
              <w:t>Source located; review open</w:t>
            </w:r>
          </w:p>
        </w:tc>
      </w:tr>
      <w:tr>
        <w:trPr>
          <w:cantSplit/>
        </w:trPr>
        <w:tc>
          <w:tcPr>
            <w:tcW w:type="dxa" w:w="720"/>
            <w:tcMar>
              <w:top w:w="55" w:type="dxa"/>
              <w:bottom w:w="55" w:type="dxa"/>
            </w:tcMar>
          </w:tcPr>
          <w:p>
            <w:pPr>
              <w:spacing w:after="40" w:before="20" w:line="240" w:lineRule="auto"/>
            </w:pPr>
            <w:r>
              <w:rPr>
                <w:sz w:val="16"/>
              </w:rPr>
              <w:t>K050</w:t>
            </w:r>
          </w:p>
        </w:tc>
        <w:tc>
          <w:tcPr>
            <w:tcW w:type="dxa" w:w="5818"/>
            <w:tcMar>
              <w:top w:w="55" w:type="dxa"/>
              <w:bottom w:w="55" w:type="dxa"/>
            </w:tcMar>
          </w:tcPr>
          <w:p>
            <w:pPr>
              <w:spacing w:after="40" w:before="20" w:line="240" w:lineRule="auto"/>
            </w:pPr>
            <w:r>
              <w:rPr>
                <w:sz w:val="16"/>
              </w:rPr>
              <w:t>Invisible computing embedded throughout the environment</w:t>
            </w:r>
          </w:p>
        </w:tc>
        <w:tc>
          <w:tcPr>
            <w:tcW w:type="dxa" w:w="3614"/>
            <w:tcMar>
              <w:top w:w="55" w:type="dxa"/>
              <w:bottom w:w="55" w:type="dxa"/>
            </w:tcMar>
          </w:tcPr>
          <w:p>
            <w:pPr>
              <w:spacing w:after="40" w:before="20" w:line="240" w:lineRule="auto"/>
            </w:pPr>
            <w:r>
              <w:rPr>
                <w:sz w:val="16"/>
              </w:rPr>
              <w:t>Source located; review open</w:t>
            </w:r>
          </w:p>
        </w:tc>
      </w:tr>
    </w:tbl>
    <w:p>
      <w:r>
        <w:t>Unscorable is not a polite synonym for wrong. Conversely, missing outcome research should remain UNREVIEWED, not be presented as an intrinsic impossibility of assessment. A new source or predeclared criterion can change either state.</w:t>
      </w:r>
    </w:p>
    <w:p>
      <w:r>
        <w:br w:type="page"/>
      </w:r>
    </w:p>
    <w:p>
      <w:pPr>
        <w:pStyle w:val="Heading1"/>
      </w:pPr>
      <w:r>
        <w:t>5. Evidence examples and their limits</w:t>
      </w:r>
    </w:p>
    <w:p>
      <w:pPr>
        <w:pStyle w:val="Heading2"/>
      </w:pPr>
      <w:r>
        <w:t>Portable computers: a supported on-time trend</w:t>
      </w:r>
    </w:p>
    <w:p>
      <w:r>
        <w:t>The older Apple releases supply weight/thickness baselines; the 2008 Air supplies a lighter, thinner product before the target. This supports a qualitative trend. It does not establish the exact first year or a market-weighted ten-year average.</w:t>
      </w:r>
    </w:p>
    <w:p>
      <w:pPr>
        <w:pStyle w:val="Caption"/>
      </w:pPr>
      <w:r>
        <w:t xml:space="preserve">Evidence: </w:t>
      </w:r>
      <w:hyperlink r:id="rId15">
        <w:r>
          <w:rPr>
            <w:color w:val="284B3B"/>
            <w:sz w:val="16"/>
          </w:rPr>
          <w:t>O02 Apple unveils new PowerBook</w:t>
        </w:r>
      </w:hyperlink>
      <w:r>
        <w:t xml:space="preserve"> · </w:t>
      </w:r>
      <w:hyperlink r:id="rId16">
        <w:r>
          <w:rPr>
            <w:color w:val="284B3B"/>
            <w:sz w:val="16"/>
          </w:rPr>
          <w:t>O03 Apple introduces MacBook Air</w:t>
        </w:r>
      </w:hyperlink>
      <w:r>
        <w:t xml:space="preserve"> · </w:t>
      </w:r>
      <w:hyperlink r:id="rId17">
        <w:r>
          <w:rPr>
            <w:color w:val="284B3B"/>
            <w:sz w:val="16"/>
          </w:rPr>
          <w:t>O04 Apple unveils one-inch-thick Titanium PowerBook G4</w:t>
        </w:r>
      </w:hyperlink>
    </w:p>
    <w:p>
      <w:pPr>
        <w:pStyle w:val="Heading2"/>
      </w:pPr>
      <w:r>
        <w:t>Speech translation: do not confuse capability and adoption</w:t>
      </w:r>
    </w:p>
    <w:p>
      <w:r>
        <w:t>CMU documented a speech-to-speech iPhone product in 2009. Google later expanded conversation mode. That defeats the old assertion that the capability first arrived much later, but does not prove common use across many pairs by 2009.</w:t>
      </w:r>
    </w:p>
    <w:p>
      <w:pPr>
        <w:pStyle w:val="Caption"/>
      </w:pPr>
      <w:r>
        <w:t xml:space="preserve">Evidence: </w:t>
      </w:r>
      <w:hyperlink r:id="rId18">
        <w:r>
          <w:rPr>
            <w:color w:val="284B3B"/>
            <w:sz w:val="16"/>
          </w:rPr>
          <w:t>O11 How do you say? — Carnegie Mellon on Jibbigo</w:t>
        </w:r>
      </w:hyperlink>
      <w:r>
        <w:t xml:space="preserve"> · </w:t>
      </w:r>
      <w:hyperlink r:id="rId19">
        <w:r>
          <w:rPr>
            <w:color w:val="284B3B"/>
            <w:sz w:val="16"/>
          </w:rPr>
          <w:t>O12 Start a conversation with Google</w:t>
        </w:r>
      </w:hyperlink>
    </w:p>
    <w:p>
      <w:pPr>
        <w:pStyle w:val="Heading2"/>
      </w:pPr>
      <w:r>
        <w:t>Life expectancy: state the interpretation</w:t>
      </w:r>
    </w:p>
    <w:p>
      <w:r>
        <w:t>The conventional period-life-expectancy reading misses: CDC reports 78.8 years in 2019 and 79.0 in 2024 for the US. A hypothesis about a cohort’s eventual future survival is a different quantity and is not settled by those figures. The record makes that alternative explicit.</w:t>
      </w:r>
    </w:p>
    <w:p>
      <w:pPr>
        <w:pStyle w:val="Caption"/>
      </w:pPr>
      <w:r>
        <w:t xml:space="preserve">Evidence: </w:t>
      </w:r>
      <w:hyperlink r:id="rId20">
        <w:r>
          <w:rPr>
            <w:color w:val="284B3B"/>
            <w:sz w:val="16"/>
          </w:rPr>
          <w:t>P02 Spiritual Machines: The Merging of Man and Machine — Ray Kurzweil</w:t>
        </w:r>
      </w:hyperlink>
      <w:r>
        <w:t xml:space="preserve"> · </w:t>
      </w:r>
      <w:hyperlink r:id="rId21">
        <w:r>
          <w:rPr>
            <w:color w:val="284B3B"/>
            <w:sz w:val="16"/>
          </w:rPr>
          <w:t>O16 Mortality in the United States, 2019 — CDC Data Brief 395</w:t>
        </w:r>
      </w:hyperlink>
      <w:r>
        <w:t xml:space="preserve"> · </w:t>
      </w:r>
      <w:hyperlink r:id="rId22">
        <w:r>
          <w:rPr>
            <w:color w:val="284B3B"/>
            <w:sz w:val="16"/>
          </w:rPr>
          <w:t>O17 Mortality in the United States, 2024 — CDC Data Brief 548</w:t>
        </w:r>
      </w:hyperlink>
    </w:p>
    <w:p>
      <w:pPr>
        <w:pStyle w:val="Heading2"/>
      </w:pPr>
      <w:r>
        <w:t>War: drone use is not human removal</w:t>
      </w:r>
    </w:p>
    <w:p>
      <w:r>
        <w:t>The original forecast describes a general battlefield transformation. A contemporaneous government account of active fighting and additional troop deployments prevents treating the existence of drones as full fulfillment of that transformation.</w:t>
      </w:r>
    </w:p>
    <w:p>
      <w:pPr>
        <w:pStyle w:val="Caption"/>
      </w:pPr>
      <w:r>
        <w:t xml:space="preserve">Evidence: </w:t>
      </w:r>
      <w:hyperlink r:id="rId23">
        <w:r>
          <w:rPr>
            <w:color w:val="284B3B"/>
            <w:sz w:val="16"/>
          </w:rPr>
          <w:t>P01 How My Predictions Are Faring — Ray Kurzweil</w:t>
        </w:r>
      </w:hyperlink>
      <w:r>
        <w:t xml:space="preserve"> · </w:t>
      </w:r>
      <w:hyperlink r:id="rId24">
        <w:r>
          <w:rPr>
            <w:color w:val="284B3B"/>
            <w:sz w:val="16"/>
          </w:rPr>
          <w:t>O13 Excerpts of the President’s address to the nation</w:t>
        </w:r>
      </w:hyperlink>
    </w:p>
    <w:p>
      <w:pPr>
        <w:pStyle w:val="Heading2"/>
      </w:pPr>
      <w:r>
        <w:t>Compute: peak, measured performance and intelligence differ</w:t>
      </w:r>
    </w:p>
    <w:p>
      <w:r>
        <w:t>The public benchmark record supports a late numerical hardware milestone under an explicit FLOPS proxy. Peak performance crossed earlier than measured LINPACK performance. Neither number independently establishes human-level intelligence. The interval is retained rather than fabricated as a precise dot.</w:t>
      </w:r>
    </w:p>
    <w:p>
      <w:pPr>
        <w:pStyle w:val="Caption"/>
      </w:pPr>
      <w:r>
        <w:t xml:space="preserve">Evidence: </w:t>
      </w:r>
      <w:hyperlink r:id="rId20">
        <w:r>
          <w:rPr>
            <w:color w:val="284B3B"/>
            <w:sz w:val="16"/>
          </w:rPr>
          <w:t>P02 Spiritual Machines: The Merging of Man and Machine — Ray Kurzweil</w:t>
        </w:r>
      </w:hyperlink>
      <w:r>
        <w:t xml:space="preserve"> · </w:t>
      </w:r>
      <w:hyperlink r:id="rId25">
        <w:r>
          <w:rPr>
            <w:color w:val="284B3B"/>
            <w:sz w:val="16"/>
          </w:rPr>
          <w:t>O18 TOP500 — November 2009 list</w:t>
        </w:r>
      </w:hyperlink>
      <w:r>
        <w:t xml:space="preserve"> · </w:t>
      </w:r>
      <w:hyperlink r:id="rId26">
        <w:r>
          <w:rPr>
            <w:color w:val="284B3B"/>
            <w:sz w:val="16"/>
          </w:rPr>
          <w:t>O19 TOP500 — November 2012 list</w:t>
        </w:r>
      </w:hyperlink>
      <w:r>
        <w:t xml:space="preserve"> · </w:t>
      </w:r>
      <w:hyperlink r:id="rId27">
        <w:r>
          <w:rPr>
            <w:color w:val="284B3B"/>
            <w:sz w:val="16"/>
          </w:rPr>
          <w:t>O20 TOP500 — June 2013 highlights</w:t>
        </w:r>
      </w:hyperlink>
    </w:p>
    <w:p>
      <w:pPr>
        <w:pStyle w:val="Heading2"/>
      </w:pPr>
      <w:r>
        <w:t>Hearing: correct our paraphrase, not the author’s record</w:t>
      </w:r>
    </w:p>
    <w:p>
      <w:r>
        <w:t>The FDA describes real limitations of conventional implants. That corrects the intake’s “cure deafness” statement. The located Kurzweil claim concerns a different future use: broad two-way communication with the network.</w:t>
      </w:r>
    </w:p>
    <w:p>
      <w:pPr>
        <w:pStyle w:val="Caption"/>
      </w:pPr>
      <w:r>
        <w:t xml:space="preserve">Evidence: </w:t>
      </w:r>
      <w:hyperlink r:id="rId20">
        <w:r>
          <w:rPr>
            <w:color w:val="284B3B"/>
            <w:sz w:val="16"/>
          </w:rPr>
          <w:t>P02 Spiritual Machines: The Merging of Man and Machine — Ray Kurzweil</w:t>
        </w:r>
      </w:hyperlink>
      <w:r>
        <w:t xml:space="preserve"> · </w:t>
      </w:r>
      <w:hyperlink r:id="rId28">
        <w:r>
          <w:rPr>
            <w:color w:val="284B3B"/>
            <w:sz w:val="16"/>
          </w:rPr>
          <w:t>O23 What educators need to know about cochlear implants — FDA</w:t>
        </w:r>
      </w:hyperlink>
    </w:p>
    <w:p>
      <w:r>
        <w:br w:type="page"/>
      </w:r>
    </w:p>
    <w:p>
      <w:pPr>
        <w:pStyle w:val="Heading1"/>
      </w:pPr>
      <w:r>
        <w:t>6. Populate the existing pages correctly</w:t>
      </w:r>
    </w:p>
    <w:p>
      <w:r>
        <w:t>No additional site redesign is needed. The supplied screenshots already show the relevant destinations. This release supplies their content and specifies the few important data-handling changes.</w:t>
      </w:r>
    </w:p>
    <w:tbl>
      <w:tblPr>
        <w:tblW w:type="auto" w:w="0"/>
        <w:tblLayout w:type="fixed"/>
        <w:tblLook w:firstColumn="1" w:firstRow="1" w:lastColumn="0" w:lastRow="0" w:noHBand="0" w:noVBand="1" w:val="04A0"/>
      </w:tblPr>
      <w:tblGrid>
        <w:gridCol w:w="1728"/>
        <w:gridCol w:w="8424"/>
      </w:tblGrid>
      <w:tr>
        <w:trPr>
          <w:tblHeader/>
          <w:cantSplit/>
        </w:trPr>
        <w:tc>
          <w:tcPr>
            <w:tcW w:type="dxa" w:w="1728"/>
            <w:shd w:fill="E7EDE5"/>
            <w:tcMar>
              <w:top w:w="55" w:type="dxa"/>
              <w:bottom w:w="55" w:type="dxa"/>
            </w:tcMar>
          </w:tcPr>
          <w:p>
            <w:pPr>
              <w:spacing w:after="40" w:before="20" w:line="240" w:lineRule="auto"/>
            </w:pPr>
            <w:r>
              <w:rPr>
                <w:b/>
                <w:sz w:val="18"/>
              </w:rPr>
              <w:t>Existing page</w:t>
            </w:r>
          </w:p>
        </w:tc>
        <w:tc>
          <w:tcPr>
            <w:tcW w:type="dxa" w:w="8424"/>
            <w:shd w:fill="E7EDE5"/>
            <w:tcMar>
              <w:top w:w="55" w:type="dxa"/>
              <w:bottom w:w="55" w:type="dxa"/>
            </w:tcMar>
          </w:tcPr>
          <w:p>
            <w:pPr>
              <w:spacing w:after="40" w:before="20" w:line="240" w:lineRule="auto"/>
            </w:pPr>
            <w:r>
              <w:rPr>
                <w:b/>
                <w:sz w:val="18"/>
              </w:rPr>
              <w:t>What to load / display</w:t>
            </w:r>
          </w:p>
        </w:tc>
      </w:tr>
      <w:tr>
        <w:trPr>
          <w:cantSplit/>
        </w:trPr>
        <w:tc>
          <w:tcPr>
            <w:tcW w:type="dxa" w:w="1728"/>
            <w:tcMar>
              <w:top w:w="55" w:type="dxa"/>
              <w:bottom w:w="55" w:type="dxa"/>
            </w:tcMar>
          </w:tcPr>
          <w:p>
            <w:pPr>
              <w:spacing w:after="40" w:before="20" w:line="240" w:lineRule="auto"/>
            </w:pPr>
            <w:r>
              <w:rPr>
                <w:sz w:val="18"/>
              </w:rPr>
              <w:t>Overview</w:t>
            </w:r>
          </w:p>
        </w:tc>
        <w:tc>
          <w:tcPr>
            <w:tcW w:type="dxa" w:w="8424"/>
            <w:tcMar>
              <w:top w:w="55" w:type="dxa"/>
              <w:bottom w:w="55" w:type="dxa"/>
            </w:tcMar>
          </w:tcPr>
          <w:p>
            <w:pPr>
              <w:spacing w:after="40" w:before="20" w:line="240" w:lineRule="auto"/>
            </w:pPr>
            <w:r>
              <w:rPr>
                <w:sz w:val="18"/>
              </w:rPr>
              <w:t>88 original leads reconciled; 50 curated records; 34 assessments; 13 due-and-eligible. Keep those populations separate. Do not call the selected subset a lifetime accuracy rate.</w:t>
            </w:r>
          </w:p>
        </w:tc>
      </w:tr>
      <w:tr>
        <w:trPr>
          <w:cantSplit/>
        </w:trPr>
        <w:tc>
          <w:tcPr>
            <w:tcW w:type="dxa" w:w="1728"/>
            <w:tcMar>
              <w:top w:w="55" w:type="dxa"/>
              <w:bottom w:w="55" w:type="dxa"/>
            </w:tcMar>
          </w:tcPr>
          <w:p>
            <w:pPr>
              <w:spacing w:after="40" w:before="20" w:line="240" w:lineRule="auto"/>
            </w:pPr>
            <w:r>
              <w:rPr>
                <w:sz w:val="18"/>
              </w:rPr>
              <w:t>Scorecard</w:t>
            </w:r>
          </w:p>
        </w:tc>
        <w:tc>
          <w:tcPr>
            <w:tcW w:type="dxa" w:w="8424"/>
            <w:tcMar>
              <w:top w:w="55" w:type="dxa"/>
              <w:bottom w:w="55" w:type="dxa"/>
            </w:tcMar>
          </w:tcPr>
          <w:p>
            <w:pPr>
              <w:spacing w:after="40" w:before="20" w:line="240" w:lineRule="auto"/>
            </w:pPr>
            <w:r>
              <w:rPr>
                <w:sz w:val="18"/>
              </w:rPr>
              <w:t>Load the canonical JSON, approved verdicts and criteria. Preserve an intake/history view for quarantined originals. Do not silently overwrite original source dates.</w:t>
            </w:r>
          </w:p>
        </w:tc>
      </w:tr>
      <w:tr>
        <w:trPr>
          <w:cantSplit/>
        </w:trPr>
        <w:tc>
          <w:tcPr>
            <w:tcW w:type="dxa" w:w="1728"/>
            <w:tcMar>
              <w:top w:w="55" w:type="dxa"/>
              <w:bottom w:w="55" w:type="dxa"/>
            </w:tcMar>
          </w:tcPr>
          <w:p>
            <w:pPr>
              <w:spacing w:after="40" w:before="20" w:line="240" w:lineRule="auto"/>
            </w:pPr>
            <w:r>
              <w:rPr>
                <w:sz w:val="18"/>
              </w:rPr>
              <w:t>Prediction detail</w:t>
            </w:r>
          </w:p>
        </w:tc>
        <w:tc>
          <w:tcPr>
            <w:tcW w:type="dxa" w:w="8424"/>
            <w:tcMar>
              <w:top w:w="55" w:type="dxa"/>
              <w:bottom w:w="55" w:type="dxa"/>
            </w:tcMar>
          </w:tcPr>
          <w:p>
            <w:pPr>
              <w:spacing w:after="40" w:before="20" w:line="240" w:lineRule="auto"/>
            </w:pPr>
            <w:r>
              <w:rPr>
                <w:sz w:val="18"/>
              </w:rPr>
              <w:t>Show original-source type, source locator, editorial paraphrase, success criterion, at-deadline outcome, at-review state, evidence and unresolved questions.</w:t>
            </w:r>
          </w:p>
        </w:tc>
      </w:tr>
      <w:tr>
        <w:trPr>
          <w:cantSplit/>
        </w:trPr>
        <w:tc>
          <w:tcPr>
            <w:tcW w:type="dxa" w:w="1728"/>
            <w:tcMar>
              <w:top w:w="55" w:type="dxa"/>
              <w:bottom w:w="55" w:type="dxa"/>
            </w:tcMar>
          </w:tcPr>
          <w:p>
            <w:pPr>
              <w:spacing w:after="40" w:before="20" w:line="240" w:lineRule="auto"/>
            </w:pPr>
            <w:r>
              <w:rPr>
                <w:sz w:val="18"/>
              </w:rPr>
              <w:t>Categories</w:t>
            </w:r>
          </w:p>
        </w:tc>
        <w:tc>
          <w:tcPr>
            <w:tcW w:type="dxa" w:w="8424"/>
            <w:tcMar>
              <w:top w:w="55" w:type="dxa"/>
              <w:bottom w:w="55" w:type="dxa"/>
            </w:tcMar>
          </w:tcPr>
          <w:p>
            <w:pPr>
              <w:spacing w:after="40" w:before="20" w:line="240" w:lineRule="auto"/>
            </w:pPr>
            <w:r>
              <w:rPr>
                <w:sz w:val="18"/>
              </w:rPr>
              <w:t>Use one primary category per canonical record. Show sample sizes and verdict counts; do not rank categories with one or two eligible records as though they represent a complete audit.</w:t>
            </w:r>
          </w:p>
        </w:tc>
      </w:tr>
      <w:tr>
        <w:trPr>
          <w:cantSplit/>
        </w:trPr>
        <w:tc>
          <w:tcPr>
            <w:tcW w:type="dxa" w:w="1728"/>
            <w:tcMar>
              <w:top w:w="55" w:type="dxa"/>
              <w:bottom w:w="55" w:type="dxa"/>
            </w:tcMar>
          </w:tcPr>
          <w:p>
            <w:pPr>
              <w:spacing w:after="40" w:before="20" w:line="240" w:lineRule="auto"/>
            </w:pPr>
            <w:r>
              <w:rPr>
                <w:sz w:val="18"/>
              </w:rPr>
              <w:t>Timing drift</w:t>
            </w:r>
          </w:p>
        </w:tc>
        <w:tc>
          <w:tcPr>
            <w:tcW w:type="dxa" w:w="8424"/>
            <w:tcMar>
              <w:top w:w="55" w:type="dxa"/>
              <w:bottom w:w="55" w:type="dxa"/>
            </w:tcMar>
          </w:tcPr>
          <w:p>
            <w:pPr>
              <w:spacing w:after="40" w:before="20" w:line="240" w:lineRule="auto"/>
            </w:pPr>
            <w:r>
              <w:rPr>
                <w:sz w:val="18"/>
              </w:rPr>
              <w:t>No exact points are justified in this release. An optional K033 interval may be shown separately, labeled hardware proxy. “Documented by” is a bound, not a first-achievement date.</w:t>
            </w:r>
          </w:p>
        </w:tc>
      </w:tr>
      <w:tr>
        <w:trPr>
          <w:cantSplit/>
        </w:trPr>
        <w:tc>
          <w:tcPr>
            <w:tcW w:type="dxa" w:w="1728"/>
            <w:tcMar>
              <w:top w:w="55" w:type="dxa"/>
              <w:bottom w:w="55" w:type="dxa"/>
            </w:tcMar>
          </w:tcPr>
          <w:p>
            <w:pPr>
              <w:spacing w:after="40" w:before="20" w:line="240" w:lineRule="auto"/>
            </w:pPr>
            <w:r>
              <w:rPr>
                <w:sz w:val="18"/>
              </w:rPr>
              <w:t>Methodology</w:t>
            </w:r>
          </w:p>
        </w:tc>
        <w:tc>
          <w:tcPr>
            <w:tcW w:type="dxa" w:w="8424"/>
            <w:tcMar>
              <w:top w:w="55" w:type="dxa"/>
              <w:bottom w:w="55" w:type="dxa"/>
            </w:tcMar>
          </w:tcPr>
          <w:p>
            <w:pPr>
              <w:spacing w:after="40" w:before="20" w:line="240" w:lineRule="auto"/>
            </w:pPr>
            <w:r>
              <w:rPr>
                <w:sz w:val="18"/>
              </w:rPr>
              <w:t>Explain source confirmation versus outcome review, related versions versus duplicates, criterion-dependent assessments and incomplete current-outcome evidence.</w:t>
            </w:r>
          </w:p>
        </w:tc>
      </w:tr>
      <w:tr>
        <w:trPr>
          <w:cantSplit/>
        </w:trPr>
        <w:tc>
          <w:tcPr>
            <w:tcW w:type="dxa" w:w="1728"/>
            <w:tcMar>
              <w:top w:w="55" w:type="dxa"/>
              <w:bottom w:w="55" w:type="dxa"/>
            </w:tcMar>
          </w:tcPr>
          <w:p>
            <w:pPr>
              <w:spacing w:after="40" w:before="20" w:line="240" w:lineRule="auto"/>
            </w:pPr>
            <w:r>
              <w:rPr>
                <w:sz w:val="18"/>
              </w:rPr>
              <w:t>Sources</w:t>
            </w:r>
          </w:p>
        </w:tc>
        <w:tc>
          <w:tcPr>
            <w:tcW w:type="dxa" w:w="8424"/>
            <w:tcMar>
              <w:top w:w="55" w:type="dxa"/>
              <w:bottom w:w="55" w:type="dxa"/>
            </w:tcMar>
          </w:tcPr>
          <w:p>
            <w:pPr>
              <w:spacing w:after="40" w:before="20" w:line="240" w:lineRule="auto"/>
            </w:pPr>
            <w:r>
              <w:rPr>
                <w:sz w:val="18"/>
              </w:rPr>
              <w:t>Import source catalogue and coverage ledger. Distinguish original contracts/transcripts, author retrospectives, mirrored articles and secondary event reports.</w:t>
            </w:r>
          </w:p>
        </w:tc>
      </w:tr>
    </w:tbl>
    <w:p>
      <w:pPr>
        <w:pStyle w:val="Heading2"/>
      </w:pPr>
      <w:r>
        <w:t>Three mandatory safeguards</w:t>
      </w:r>
    </w:p>
    <w:p>
      <w:r>
        <w:t>First, a related version is not a duplicate: preserve the unlocated earlier claim while linking the newer sourced version. Second, missing current-fulfillment evidence must not be silently converted into failure. Third, do not render editorial paraphrases as verbatim quotations.</w:t>
      </w:r>
    </w:p>
    <w:p>
      <w:r>
        <w:t>The automatic package check covers IDs, provenance links, the immutable input hash, all 88 mappings, eligible counts and timing rules. It does not modify or test the live website; the repository was not supplied.</w:t>
      </w:r>
    </w:p>
    <w:p>
      <w:pPr>
        <w:pStyle w:val="Caption"/>
      </w:pPr>
      <w:r>
        <w:t>Agent handoff: README_AGENT_HANDOFF.md. Run: python validate_data.py. Data source: predictions.canonical.v0.2.json. Full record evidence: verification-dossiers.md.</w:t>
      </w:r>
    </w:p>
    <w:p>
      <w:r>
        <w:br w:type="page"/>
      </w:r>
    </w:p>
    <w:p>
      <w:pPr>
        <w:pStyle w:val="Heading1"/>
      </w:pPr>
      <w:r>
        <w:t>7. Coverage and the next bounded audit</w:t>
      </w:r>
    </w:p>
    <w:p>
      <w:r>
        <w:t>The largest gap is source coverage, not the visual design. The official retrospective identifies 147 predictions for 2009 from one book. That is a useful bounded next population, not a complete lifetime total. [P01]</w:t>
      </w:r>
    </w:p>
    <w:tbl>
      <w:tblPr>
        <w:tblW w:type="auto" w:w="0"/>
        <w:tblLayout w:type="fixed"/>
        <w:tblLook w:firstColumn="1" w:firstRow="1" w:lastColumn="0" w:lastRow="0" w:noHBand="0" w:noVBand="1" w:val="04A0"/>
      </w:tblPr>
      <w:tblGrid>
        <w:gridCol w:w="2160"/>
        <w:gridCol w:w="2952"/>
        <w:gridCol w:w="5040"/>
      </w:tblGrid>
      <w:tr>
        <w:trPr>
          <w:tblHeader/>
          <w:cantSplit/>
        </w:trPr>
        <w:tc>
          <w:tcPr>
            <w:tcW w:type="dxa" w:w="2160"/>
            <w:shd w:fill="E7EDE5"/>
            <w:tcMar>
              <w:top w:w="55" w:type="dxa"/>
              <w:bottom w:w="55" w:type="dxa"/>
            </w:tcMar>
          </w:tcPr>
          <w:p>
            <w:pPr>
              <w:spacing w:after="40" w:before="20" w:line="240" w:lineRule="auto"/>
            </w:pPr>
            <w:r>
              <w:rPr>
                <w:b/>
                <w:sz w:val="18"/>
              </w:rPr>
              <w:t>Corpus</w:t>
            </w:r>
          </w:p>
        </w:tc>
        <w:tc>
          <w:tcPr>
            <w:tcW w:type="dxa" w:w="2952"/>
            <w:shd w:fill="E7EDE5"/>
            <w:tcMar>
              <w:top w:w="55" w:type="dxa"/>
              <w:bottom w:w="55" w:type="dxa"/>
            </w:tcMar>
          </w:tcPr>
          <w:p>
            <w:pPr>
              <w:spacing w:after="40" w:before="20" w:line="240" w:lineRule="auto"/>
            </w:pPr>
            <w:r>
              <w:rPr>
                <w:b/>
                <w:sz w:val="18"/>
              </w:rPr>
              <w:t>Status in this release</w:t>
            </w:r>
          </w:p>
        </w:tc>
        <w:tc>
          <w:tcPr>
            <w:tcW w:type="dxa" w:w="5040"/>
            <w:shd w:fill="E7EDE5"/>
            <w:tcMar>
              <w:top w:w="55" w:type="dxa"/>
              <w:bottom w:w="55" w:type="dxa"/>
            </w:tcMar>
          </w:tcPr>
          <w:p>
            <w:pPr>
              <w:spacing w:after="40" w:before="20" w:line="240" w:lineRule="auto"/>
            </w:pPr>
            <w:r>
              <w:rPr>
                <w:b/>
                <w:sz w:val="18"/>
              </w:rPr>
              <w:t>What remains</w:t>
            </w:r>
          </w:p>
        </w:tc>
      </w:tr>
      <w:tr>
        <w:trPr>
          <w:cantSplit/>
        </w:trPr>
        <w:tc>
          <w:tcPr>
            <w:tcW w:type="dxa" w:w="2160"/>
            <w:tcMar>
              <w:top w:w="55" w:type="dxa"/>
              <w:bottom w:w="55" w:type="dxa"/>
            </w:tcMar>
          </w:tcPr>
          <w:p>
            <w:pPr>
              <w:spacing w:after="40" w:before="20" w:line="240" w:lineRule="auto"/>
            </w:pPr>
            <w:r>
              <w:rPr>
                <w:sz w:val="18"/>
              </w:rPr>
              <w:t>AIM (1990)</w:t>
            </w:r>
          </w:p>
        </w:tc>
        <w:tc>
          <w:tcPr>
            <w:tcW w:type="dxa" w:w="2952"/>
            <w:tcMar>
              <w:top w:w="55" w:type="dxa"/>
              <w:bottom w:w="55" w:type="dxa"/>
            </w:tcMar>
          </w:tcPr>
          <w:p>
            <w:pPr>
              <w:spacing w:after="40" w:before="20" w:line="240" w:lineRule="auto"/>
            </w:pPr>
            <w:r>
              <w:rPr>
                <w:sz w:val="18"/>
              </w:rPr>
              <w:t>Selected author reprints</w:t>
            </w:r>
          </w:p>
        </w:tc>
        <w:tc>
          <w:tcPr>
            <w:tcW w:type="dxa" w:w="5040"/>
            <w:tcMar>
              <w:top w:w="55" w:type="dxa"/>
              <w:bottom w:w="55" w:type="dxa"/>
            </w:tcMar>
          </w:tcPr>
          <w:p>
            <w:pPr>
              <w:spacing w:after="40" w:before="20" w:line="240" w:lineRule="auto"/>
            </w:pPr>
            <w:r>
              <w:rPr>
                <w:sz w:val="18"/>
              </w:rPr>
              <w:t>Original edition, chess deadline, full forecast extraction.</w:t>
            </w:r>
          </w:p>
        </w:tc>
      </w:tr>
      <w:tr>
        <w:trPr>
          <w:cantSplit/>
        </w:trPr>
        <w:tc>
          <w:tcPr>
            <w:tcW w:type="dxa" w:w="2160"/>
            <w:tcMar>
              <w:top w:w="55" w:type="dxa"/>
              <w:bottom w:w="55" w:type="dxa"/>
            </w:tcMar>
          </w:tcPr>
          <w:p>
            <w:pPr>
              <w:spacing w:after="40" w:before="20" w:line="240" w:lineRule="auto"/>
            </w:pPr>
            <w:r>
              <w:rPr>
                <w:sz w:val="18"/>
              </w:rPr>
              <w:t>ASM (1999): 147 for 2009</w:t>
            </w:r>
          </w:p>
        </w:tc>
        <w:tc>
          <w:tcPr>
            <w:tcW w:type="dxa" w:w="2952"/>
            <w:tcMar>
              <w:top w:w="55" w:type="dxa"/>
              <w:bottom w:w="55" w:type="dxa"/>
            </w:tcMar>
          </w:tcPr>
          <w:p>
            <w:pPr>
              <w:spacing w:after="40" w:before="20" w:line="240" w:lineRule="auto"/>
            </w:pPr>
            <w:r>
              <w:rPr>
                <w:sz w:val="18"/>
              </w:rPr>
              <w:t>Partial extraction</w:t>
            </w:r>
          </w:p>
        </w:tc>
        <w:tc>
          <w:tcPr>
            <w:tcW w:type="dxa" w:w="5040"/>
            <w:tcMar>
              <w:top w:w="55" w:type="dxa"/>
              <w:bottom w:w="55" w:type="dxa"/>
            </w:tcMar>
          </w:tcPr>
          <w:p>
            <w:pPr>
              <w:spacing w:after="40" w:before="20" w:line="240" w:lineRule="auto"/>
            </w:pPr>
            <w:r>
              <w:rPr>
                <w:sz w:val="18"/>
              </w:rPr>
              <w:t>Every parent statement, edition collation and independent outcomes.</w:t>
            </w:r>
          </w:p>
        </w:tc>
      </w:tr>
      <w:tr>
        <w:trPr>
          <w:cantSplit/>
        </w:trPr>
        <w:tc>
          <w:tcPr>
            <w:tcW w:type="dxa" w:w="2160"/>
            <w:tcMar>
              <w:top w:w="55" w:type="dxa"/>
              <w:bottom w:w="55" w:type="dxa"/>
            </w:tcMar>
          </w:tcPr>
          <w:p>
            <w:pPr>
              <w:spacing w:after="40" w:before="20" w:line="240" w:lineRule="auto"/>
            </w:pPr>
            <w:r>
              <w:rPr>
                <w:sz w:val="18"/>
              </w:rPr>
              <w:t>1999-attributed article</w:t>
            </w:r>
          </w:p>
        </w:tc>
        <w:tc>
          <w:tcPr>
            <w:tcW w:type="dxa" w:w="2952"/>
            <w:tcMar>
              <w:top w:w="55" w:type="dxa"/>
              <w:bottom w:w="55" w:type="dxa"/>
            </w:tcMar>
          </w:tcPr>
          <w:p>
            <w:pPr>
              <w:spacing w:after="40" w:before="20" w:line="240" w:lineRule="auto"/>
            </w:pPr>
            <w:r>
              <w:rPr>
                <w:sz w:val="18"/>
              </w:rPr>
              <w:t>Text reviewed; selective extraction</w:t>
            </w:r>
          </w:p>
        </w:tc>
        <w:tc>
          <w:tcPr>
            <w:tcW w:type="dxa" w:w="5040"/>
            <w:tcMar>
              <w:top w:w="55" w:type="dxa"/>
              <w:bottom w:w="55" w:type="dxa"/>
            </w:tcMar>
          </w:tcPr>
          <w:p>
            <w:pPr>
              <w:spacing w:after="40" w:before="20" w:line="240" w:lineRule="auto"/>
            </w:pPr>
            <w:r>
              <w:rPr>
                <w:sz w:val="18"/>
              </w:rPr>
              <w:t>Publication provenance and remaining statements; preserve book/article variants.</w:t>
            </w:r>
          </w:p>
        </w:tc>
      </w:tr>
      <w:tr>
        <w:trPr>
          <w:cantSplit/>
        </w:trPr>
        <w:tc>
          <w:tcPr>
            <w:tcW w:type="dxa" w:w="2160"/>
            <w:tcMar>
              <w:top w:w="55" w:type="dxa"/>
              <w:bottom w:w="55" w:type="dxa"/>
            </w:tcMar>
          </w:tcPr>
          <w:p>
            <w:pPr>
              <w:spacing w:after="40" w:before="20" w:line="240" w:lineRule="auto"/>
            </w:pPr>
            <w:r>
              <w:rPr>
                <w:sz w:val="18"/>
              </w:rPr>
              <w:t>SIN (2005)</w:t>
            </w:r>
          </w:p>
        </w:tc>
        <w:tc>
          <w:tcPr>
            <w:tcW w:type="dxa" w:w="2952"/>
            <w:tcMar>
              <w:top w:w="55" w:type="dxa"/>
              <w:bottom w:w="55" w:type="dxa"/>
            </w:tcMar>
          </w:tcPr>
          <w:p>
            <w:pPr>
              <w:spacing w:after="40" w:before="20" w:line="240" w:lineRule="auto"/>
            </w:pPr>
            <w:r>
              <w:rPr>
                <w:sz w:val="18"/>
              </w:rPr>
              <w:t>Q&amp;A and retrospective passages</w:t>
            </w:r>
          </w:p>
        </w:tc>
        <w:tc>
          <w:tcPr>
            <w:tcW w:type="dxa" w:w="5040"/>
            <w:tcMar>
              <w:top w:w="55" w:type="dxa"/>
              <w:bottom w:w="55" w:type="dxa"/>
            </w:tcMar>
          </w:tcPr>
          <w:p>
            <w:pPr>
              <w:spacing w:after="40" w:before="20" w:line="240" w:lineRule="auto"/>
            </w:pPr>
            <w:r>
              <w:rPr>
                <w:sz w:val="18"/>
              </w:rPr>
              <w:t>Full book and quantitative graphs; no automatic exact dates from decade phrases.</w:t>
            </w:r>
          </w:p>
        </w:tc>
      </w:tr>
      <w:tr>
        <w:trPr>
          <w:cantSplit/>
        </w:trPr>
        <w:tc>
          <w:tcPr>
            <w:tcW w:type="dxa" w:w="2160"/>
            <w:tcMar>
              <w:top w:w="55" w:type="dxa"/>
              <w:bottom w:w="55" w:type="dxa"/>
            </w:tcMar>
          </w:tcPr>
          <w:p>
            <w:pPr>
              <w:spacing w:after="40" w:before="20" w:line="240" w:lineRule="auto"/>
            </w:pPr>
            <w:r>
              <w:rPr>
                <w:sz w:val="18"/>
              </w:rPr>
              <w:t>2002 wager</w:t>
            </w:r>
          </w:p>
        </w:tc>
        <w:tc>
          <w:tcPr>
            <w:tcW w:type="dxa" w:w="2952"/>
            <w:tcMar>
              <w:top w:w="55" w:type="dxa"/>
              <w:bottom w:w="55" w:type="dxa"/>
            </w:tcMar>
          </w:tcPr>
          <w:p>
            <w:pPr>
              <w:spacing w:after="40" w:before="20" w:line="240" w:lineRule="auto"/>
            </w:pPr>
            <w:r>
              <w:rPr>
                <w:sz w:val="18"/>
              </w:rPr>
              <w:t>Primary protocol checked</w:t>
            </w:r>
          </w:p>
        </w:tc>
        <w:tc>
          <w:tcPr>
            <w:tcW w:type="dxa" w:w="5040"/>
            <w:tcMar>
              <w:top w:w="55" w:type="dxa"/>
              <w:bottom w:w="55" w:type="dxa"/>
            </w:tcMar>
          </w:tcPr>
          <w:p>
            <w:pPr>
              <w:spacing w:after="40" w:before="20" w:line="240" w:lineRule="auto"/>
            </w:pPr>
            <w:r>
              <w:rPr>
                <w:sz w:val="18"/>
              </w:rPr>
              <w:t>Track actual adjudication; do not swap experimental protocols.</w:t>
            </w:r>
          </w:p>
        </w:tc>
      </w:tr>
      <w:tr>
        <w:trPr>
          <w:cantSplit/>
        </w:trPr>
        <w:tc>
          <w:tcPr>
            <w:tcW w:type="dxa" w:w="2160"/>
            <w:tcMar>
              <w:top w:w="55" w:type="dxa"/>
              <w:bottom w:w="55" w:type="dxa"/>
            </w:tcMar>
          </w:tcPr>
          <w:p>
            <w:pPr>
              <w:spacing w:after="40" w:before="20" w:line="240" w:lineRule="auto"/>
            </w:pPr>
            <w:r>
              <w:rPr>
                <w:sz w:val="18"/>
              </w:rPr>
              <w:t>2008 solar / 2018 UBI</w:t>
            </w:r>
          </w:p>
        </w:tc>
        <w:tc>
          <w:tcPr>
            <w:tcW w:type="dxa" w:w="2952"/>
            <w:tcMar>
              <w:top w:w="55" w:type="dxa"/>
              <w:bottom w:w="55" w:type="dxa"/>
            </w:tcMar>
          </w:tcPr>
          <w:p>
            <w:pPr>
              <w:spacing w:after="40" w:before="20" w:line="240" w:lineRule="auto"/>
            </w:pPr>
            <w:r>
              <w:rPr>
                <w:sz w:val="18"/>
              </w:rPr>
              <w:t>Event reports only</w:t>
            </w:r>
          </w:p>
        </w:tc>
        <w:tc>
          <w:tcPr>
            <w:tcW w:type="dxa" w:w="5040"/>
            <w:tcMar>
              <w:top w:w="55" w:type="dxa"/>
              <w:bottom w:w="55" w:type="dxa"/>
            </w:tcMar>
          </w:tcPr>
          <w:p>
            <w:pPr>
              <w:spacing w:after="40" w:before="20" w:line="240" w:lineRule="auto"/>
            </w:pPr>
            <w:r>
              <w:rPr>
                <w:sz w:val="18"/>
              </w:rPr>
              <w:t>Original recordings/transcripts and measurable scope.</w:t>
            </w:r>
          </w:p>
        </w:tc>
      </w:tr>
      <w:tr>
        <w:trPr>
          <w:cantSplit/>
        </w:trPr>
        <w:tc>
          <w:tcPr>
            <w:tcW w:type="dxa" w:w="2160"/>
            <w:tcMar>
              <w:top w:w="55" w:type="dxa"/>
              <w:bottom w:w="55" w:type="dxa"/>
            </w:tcMar>
          </w:tcPr>
          <w:p>
            <w:pPr>
              <w:spacing w:after="40" w:before="20" w:line="240" w:lineRule="auto"/>
            </w:pPr>
            <w:r>
              <w:rPr>
                <w:sz w:val="18"/>
              </w:rPr>
              <w:t>2024 Bessemer interview</w:t>
            </w:r>
          </w:p>
        </w:tc>
        <w:tc>
          <w:tcPr>
            <w:tcW w:type="dxa" w:w="2952"/>
            <w:tcMar>
              <w:top w:w="55" w:type="dxa"/>
              <w:bottom w:w="55" w:type="dxa"/>
            </w:tcMar>
          </w:tcPr>
          <w:p>
            <w:pPr>
              <w:spacing w:after="40" w:before="20" w:line="240" w:lineRule="auto"/>
            </w:pPr>
            <w:r>
              <w:rPr>
                <w:sz w:val="18"/>
              </w:rPr>
              <w:t>Selected primary transcript claims</w:t>
            </w:r>
          </w:p>
        </w:tc>
        <w:tc>
          <w:tcPr>
            <w:tcW w:type="dxa" w:w="5040"/>
            <w:tcMar>
              <w:top w:w="55" w:type="dxa"/>
              <w:bottom w:w="55" w:type="dxa"/>
            </w:tcMar>
          </w:tcPr>
          <w:p>
            <w:pPr>
              <w:spacing w:after="40" w:before="20" w:line="240" w:lineRule="auto"/>
            </w:pPr>
            <w:r>
              <w:rPr>
                <w:sz w:val="18"/>
              </w:rPr>
              <w:t>Other independent claims, carefully separating the speaker from the interviewer.</w:t>
            </w:r>
          </w:p>
        </w:tc>
      </w:tr>
      <w:tr>
        <w:trPr>
          <w:cantSplit/>
        </w:trPr>
        <w:tc>
          <w:tcPr>
            <w:tcW w:type="dxa" w:w="2160"/>
            <w:tcMar>
              <w:top w:w="55" w:type="dxa"/>
              <w:bottom w:w="55" w:type="dxa"/>
            </w:tcMar>
          </w:tcPr>
          <w:p>
            <w:pPr>
              <w:spacing w:after="40" w:before="20" w:line="240" w:lineRule="auto"/>
            </w:pPr>
            <w:r>
              <w:rPr>
                <w:sz w:val="18"/>
              </w:rPr>
              <w:t>Nearer and other medical books</w:t>
            </w:r>
          </w:p>
        </w:tc>
        <w:tc>
          <w:tcPr>
            <w:tcW w:type="dxa" w:w="2952"/>
            <w:tcMar>
              <w:top w:w="55" w:type="dxa"/>
              <w:bottom w:w="55" w:type="dxa"/>
            </w:tcMar>
          </w:tcPr>
          <w:p>
            <w:pPr>
              <w:spacing w:after="40" w:before="20" w:line="240" w:lineRule="auto"/>
            </w:pPr>
            <w:r>
              <w:rPr>
                <w:sz w:val="18"/>
              </w:rPr>
              <w:t>Full texts not checked</w:t>
            </w:r>
          </w:p>
        </w:tc>
        <w:tc>
          <w:tcPr>
            <w:tcW w:type="dxa" w:w="5040"/>
            <w:tcMar>
              <w:top w:w="55" w:type="dxa"/>
              <w:bottom w:w="55" w:type="dxa"/>
            </w:tcMar>
          </w:tcPr>
          <w:p>
            <w:pPr>
              <w:spacing w:after="40" w:before="20" w:line="240" w:lineRule="auto"/>
            </w:pPr>
            <w:r>
              <w:rPr>
                <w:sz w:val="18"/>
              </w:rPr>
              <w:t>Precise original pages for alleged lifespan/cure targets; no inference-as-quotation.</w:t>
            </w:r>
          </w:p>
        </w:tc>
      </w:tr>
    </w:tbl>
    <w:p>
      <w:pPr>
        <w:pStyle w:val="Heading2"/>
      </w:pPr>
      <w:r>
        <w:t>Recommended release sequence</w:t>
      </w:r>
    </w:p>
    <w:p>
      <w:r>
        <w:t>Publish the corrected source-backed detail pages and the clearly labeled reviewed subset first. Complete the entire 147-item 2009 cohort next, keeping a source-order extraction log so famous hits and famous misses are not selected preferentially. Then expand by book and interview, versioning the data as the corpus grows.</w:t>
      </w:r>
    </w:p>
    <w:p>
      <w:pPr>
        <w:pStyle w:val="Heading2"/>
      </w:pPr>
      <w:r>
        <w:t>Not finished in this release</w:t>
      </w:r>
    </w:p>
    <w:p>
      <w:r>
        <w:t>The original editions were not independently collated; forty imported versions remain quarantined; sixteen canonical records remain ungraded; several future claims still need operational criteria; and exact first-fulfillment dates are sparse. These are explicit research tasks, not blanks to fill by inheriting the earlier summaries.</w:t>
      </w:r>
    </w:p>
    <w:p>
      <w:r>
        <w:t>The full CSV mapping contains a concrete disposition for every old ID. The detailed dossiers supply evidence and limitations for all 50 canonical records. This is sufficient for a transparent first evidence release, but not a comprehensive accuracy verdict.</w:t>
      </w:r>
    </w:p>
    <w:p>
      <w:pPr>
        <w:pStyle w:val="Caption"/>
      </w:pPr>
      <w:r>
        <w:t xml:space="preserve">Evidence: </w:t>
      </w:r>
      <w:hyperlink r:id="rId23">
        <w:r>
          <w:rPr>
            <w:color w:val="284B3B"/>
            <w:sz w:val="16"/>
          </w:rPr>
          <w:t>P01 How My Predictions Are Faring — Ray Kurzweil</w:t>
        </w:r>
      </w:hyperlink>
    </w:p>
    <w:p>
      <w:r>
        <w:br w:type="page"/>
      </w:r>
    </w:p>
    <w:p>
      <w:pPr>
        <w:pStyle w:val="Heading1"/>
      </w:pPr>
      <w:r>
        <w:t>Source index · 1 of 2</w:t>
      </w:r>
    </w:p>
    <w:p>
      <w:pPr>
        <w:pStyle w:val="Caption"/>
      </w:pPr>
      <w:r>
        <w:t>Clickable titles open the checked source. Exact locators and claim-specific roles are in the JSON and detailed dossiers. Dates below are publication dates, not the forecast target or outcome year.</w:t>
      </w:r>
    </w:p>
    <w:p>
      <w:pPr>
        <w:spacing w:after="40"/>
      </w:pPr>
      <w:r>
        <w:rPr>
          <w:b/>
        </w:rPr>
        <w:t xml:space="preserve">P01  </w:t>
      </w:r>
      <w:hyperlink r:id="rId23">
        <w:r>
          <w:rPr>
            <w:color w:val="284B3B"/>
            <w:sz w:val="18"/>
          </w:rPr>
          <w:t>How My Predictions Are Faring — Ray Kurzweil</w:t>
        </w:r>
      </w:hyperlink>
    </w:p>
    <w:p>
      <w:pPr>
        <w:pStyle w:val="Caption"/>
        <w:spacing w:after="100"/>
      </w:pPr>
      <w:r>
        <w:t>Author Retrospective Reprint  |  2010-10</w:t>
      </w:r>
    </w:p>
    <w:p>
      <w:pPr>
        <w:pStyle w:val="Caption"/>
        <w:spacing w:after="100"/>
      </w:pPr>
      <w:r>
        <w:t>Official author reprint; not an independently collated original edition. Later updates appear in the file.</w:t>
      </w:r>
    </w:p>
    <w:p>
      <w:pPr>
        <w:spacing w:after="40"/>
      </w:pPr>
      <w:r>
        <w:rPr>
          <w:b/>
        </w:rPr>
        <w:t xml:space="preserve">P02  </w:t>
      </w:r>
      <w:hyperlink r:id="rId20">
        <w:r>
          <w:rPr>
            <w:color w:val="284B3B"/>
            <w:sz w:val="18"/>
          </w:rPr>
          <w:t>Spiritual Machines: The Merging of Man and Machine — Ray Kurzweil</w:t>
        </w:r>
      </w:hyperlink>
    </w:p>
    <w:p>
      <w:pPr>
        <w:pStyle w:val="Caption"/>
        <w:spacing w:after="100"/>
      </w:pPr>
      <w:r>
        <w:t>Authored Article Third Party Mirror  |  1999</w:t>
      </w:r>
    </w:p>
    <w:p>
      <w:pPr>
        <w:pStyle w:val="Caption"/>
        <w:spacing w:after="100"/>
      </w:pPr>
      <w:r>
        <w:t>Authored article on a third-party mirror; keep article/book variants distinct.</w:t>
      </w:r>
    </w:p>
    <w:p>
      <w:pPr>
        <w:spacing w:after="40"/>
      </w:pPr>
      <w:r>
        <w:rPr>
          <w:b/>
        </w:rPr>
        <w:t xml:space="preserve">P03  </w:t>
      </w:r>
      <w:hyperlink r:id="rId11">
        <w:r>
          <w:rPr>
            <w:color w:val="284B3B"/>
            <w:sz w:val="18"/>
          </w:rPr>
          <w:t>Long Bets #1 — Kapor/Kurzweil Turing-test agreement</w:t>
        </w:r>
      </w:hyperlink>
    </w:p>
    <w:p>
      <w:pPr>
        <w:pStyle w:val="Caption"/>
        <w:spacing w:after="100"/>
      </w:pPr>
      <w:r>
        <w:t>Primary Contract  |  2002</w:t>
      </w:r>
    </w:p>
    <w:p>
      <w:pPr>
        <w:pStyle w:val="Caption"/>
        <w:spacing w:after="100"/>
      </w:pPr>
      <w:r>
        <w:t>Original wager and rules; Kurzweil opposes Kapor’s NO proposition.</w:t>
      </w:r>
    </w:p>
    <w:p>
      <w:pPr>
        <w:spacing w:after="40"/>
      </w:pPr>
      <w:r>
        <w:rPr>
          <w:b/>
        </w:rPr>
        <w:t xml:space="preserve">P04  </w:t>
      </w:r>
      <w:hyperlink r:id="rId29">
        <w:r>
          <w:rPr>
            <w:color w:val="284B3B"/>
            <w:sz w:val="18"/>
          </w:rPr>
          <w:t>So what is the singularity? — Ray Kurzweil Q&amp;A</w:t>
        </w:r>
      </w:hyperlink>
    </w:p>
    <w:p>
      <w:pPr>
        <w:pStyle w:val="Caption"/>
        <w:spacing w:after="100"/>
      </w:pPr>
      <w:r>
        <w:t>Author Archive Republication  |  2011-01-01</w:t>
      </w:r>
    </w:p>
    <w:p>
      <w:pPr>
        <w:pStyle w:val="Caption"/>
        <w:spacing w:after="100"/>
      </w:pPr>
      <w:r>
        <w:t>Dialogue identified as 2005, republished on an archive page dated 2011.</w:t>
      </w:r>
    </w:p>
    <w:p>
      <w:pPr>
        <w:spacing w:after="40"/>
      </w:pPr>
      <w:r>
        <w:rPr>
          <w:b/>
        </w:rPr>
        <w:t xml:space="preserve">P05  </w:t>
      </w:r>
      <w:hyperlink r:id="rId12">
        <w:r>
          <w:rPr>
            <w:color w:val="284B3B"/>
            <w:sz w:val="18"/>
          </w:rPr>
          <w:t>AI escape velocity: A conversation with Ray Kurzweil</w:t>
        </w:r>
      </w:hyperlink>
    </w:p>
    <w:p>
      <w:pPr>
        <w:pStyle w:val="Caption"/>
        <w:spacing w:after="100"/>
      </w:pPr>
      <w:r>
        <w:t>Primary Interview Transcript  |  2024-03-11</w:t>
      </w:r>
    </w:p>
    <w:p>
      <w:pPr>
        <w:pStyle w:val="Caption"/>
        <w:spacing w:after="100"/>
      </w:pPr>
      <w:r>
        <w:t>Primary hosted interview transcript; do not attribute interviewer remarks to Kurzweil.</w:t>
      </w:r>
    </w:p>
    <w:p>
      <w:pPr>
        <w:spacing w:after="40"/>
      </w:pPr>
      <w:r>
        <w:rPr>
          <w:b/>
        </w:rPr>
        <w:t xml:space="preserve">P06  </w:t>
      </w:r>
      <w:hyperlink r:id="rId13">
        <w:r>
          <w:rPr>
            <w:color w:val="284B3B"/>
            <w:sz w:val="18"/>
          </w:rPr>
          <w:t>Ray Kurzweil: Universal basic income will arrive in the 2030s</w:t>
        </w:r>
      </w:hyperlink>
    </w:p>
    <w:p>
      <w:pPr>
        <w:pStyle w:val="Caption"/>
        <w:spacing w:after="100"/>
      </w:pPr>
      <w:r>
        <w:t>Contemporaneous Event Report  |  2018-04-13</w:t>
      </w:r>
    </w:p>
    <w:p>
      <w:pPr>
        <w:pStyle w:val="Caption"/>
        <w:spacing w:after="100"/>
      </w:pPr>
      <w:r>
        <w:t>Contemporaneous secondary attribution; original TED transcript not obtained.</w:t>
      </w:r>
    </w:p>
    <w:p>
      <w:pPr>
        <w:spacing w:after="40"/>
      </w:pPr>
      <w:r>
        <w:rPr>
          <w:b/>
        </w:rPr>
        <w:t xml:space="preserve">P07  </w:t>
      </w:r>
      <w:hyperlink r:id="rId14">
        <w:r>
          <w:rPr>
            <w:color w:val="284B3B"/>
            <w:sz w:val="18"/>
          </w:rPr>
          <w:t>Solar power to rule in 20 years, futurists say</w:t>
        </w:r>
      </w:hyperlink>
    </w:p>
    <w:p>
      <w:pPr>
        <w:pStyle w:val="Caption"/>
        <w:spacing w:after="100"/>
      </w:pPr>
      <w:r>
        <w:t>Author Archive Press Clipping  |  2008-02-19</w:t>
      </w:r>
    </w:p>
    <w:p>
      <w:pPr>
        <w:pStyle w:val="Caption"/>
        <w:spacing w:after="100"/>
      </w:pPr>
      <w:r>
        <w:t>Author-archive press clipping; original solar remarks not transcribed here.</w:t>
      </w:r>
    </w:p>
    <w:p>
      <w:pPr>
        <w:spacing w:after="40"/>
      </w:pPr>
      <w:r>
        <w:rPr>
          <w:b/>
        </w:rPr>
        <w:t xml:space="preserve">O01  </w:t>
      </w:r>
      <w:hyperlink r:id="rId30">
        <w:r>
          <w:rPr>
            <w:color w:val="284B3B"/>
            <w:sz w:val="18"/>
          </w:rPr>
          <w:t>IBM — Deep Blue</w:t>
        </w:r>
      </w:hyperlink>
    </w:p>
    <w:p>
      <w:pPr>
        <w:pStyle w:val="Caption"/>
        <w:spacing w:after="100"/>
      </w:pPr>
      <w:r>
        <w:t>Primary Institutional History  |  Undated / live source</w:t>
      </w:r>
    </w:p>
    <w:p>
      <w:pPr>
        <w:spacing w:after="40"/>
      </w:pPr>
      <w:r>
        <w:rPr>
          <w:b/>
        </w:rPr>
        <w:t xml:space="preserve">O02  </w:t>
      </w:r>
      <w:hyperlink r:id="rId15">
        <w:r>
          <w:rPr>
            <w:color w:val="284B3B"/>
            <w:sz w:val="18"/>
          </w:rPr>
          <w:t>Apple unveils new PowerBook</w:t>
        </w:r>
      </w:hyperlink>
    </w:p>
    <w:p>
      <w:pPr>
        <w:pStyle w:val="Caption"/>
        <w:spacing w:after="100"/>
      </w:pPr>
      <w:r>
        <w:t>Primary Product Release  |  2000-02-16</w:t>
      </w:r>
    </w:p>
    <w:p>
      <w:pPr>
        <w:spacing w:after="40"/>
      </w:pPr>
      <w:r>
        <w:rPr>
          <w:b/>
        </w:rPr>
        <w:t xml:space="preserve">O03  </w:t>
      </w:r>
      <w:hyperlink r:id="rId16">
        <w:r>
          <w:rPr>
            <w:color w:val="284B3B"/>
            <w:sz w:val="18"/>
          </w:rPr>
          <w:t>Apple introduces MacBook Air</w:t>
        </w:r>
      </w:hyperlink>
    </w:p>
    <w:p>
      <w:pPr>
        <w:pStyle w:val="Caption"/>
        <w:spacing w:after="100"/>
      </w:pPr>
      <w:r>
        <w:t>Primary Product Release  |  2008-01-15</w:t>
      </w:r>
    </w:p>
    <w:p>
      <w:pPr>
        <w:spacing w:after="40"/>
      </w:pPr>
      <w:r>
        <w:rPr>
          <w:b/>
        </w:rPr>
        <w:t xml:space="preserve">O04  </w:t>
      </w:r>
      <w:hyperlink r:id="rId17">
        <w:r>
          <w:rPr>
            <w:color w:val="284B3B"/>
            <w:sz w:val="18"/>
          </w:rPr>
          <w:t>Apple unveils one-inch-thick Titanium PowerBook G4</w:t>
        </w:r>
      </w:hyperlink>
    </w:p>
    <w:p>
      <w:pPr>
        <w:pStyle w:val="Caption"/>
        <w:spacing w:after="100"/>
      </w:pPr>
      <w:r>
        <w:t>Primary Product Release  |  2001-01-09</w:t>
      </w:r>
    </w:p>
    <w:p>
      <w:pPr>
        <w:spacing w:after="40"/>
      </w:pPr>
      <w:r>
        <w:rPr>
          <w:b/>
        </w:rPr>
        <w:t xml:space="preserve">O05  </w:t>
      </w:r>
      <w:hyperlink r:id="rId31">
        <w:r>
          <w:rPr>
            <w:color w:val="284B3B"/>
            <w:sz w:val="18"/>
          </w:rPr>
          <w:t>Introducing Amazon Kindle</w:t>
        </w:r>
      </w:hyperlink>
    </w:p>
    <w:p>
      <w:pPr>
        <w:pStyle w:val="Caption"/>
        <w:spacing w:after="100"/>
      </w:pPr>
      <w:r>
        <w:t>Primary Product Release  |  2007-11-19</w:t>
      </w:r>
    </w:p>
    <w:p>
      <w:pPr>
        <w:spacing w:after="40"/>
      </w:pPr>
      <w:r>
        <w:rPr>
          <w:b/>
        </w:rPr>
        <w:t xml:space="preserve">O06  </w:t>
      </w:r>
      <w:hyperlink r:id="rId32">
        <w:r>
          <w:rPr>
            <w:color w:val="284B3B"/>
            <w:sz w:val="18"/>
          </w:rPr>
          <w:t>iTunes Store tops over five billion songs sold</w:t>
        </w:r>
      </w:hyperlink>
    </w:p>
    <w:p>
      <w:pPr>
        <w:pStyle w:val="Caption"/>
        <w:spacing w:after="100"/>
      </w:pPr>
      <w:r>
        <w:t>Primary Product Release  |  2008-06-19</w:t>
      </w:r>
    </w:p>
    <w:p>
      <w:pPr>
        <w:spacing w:after="40"/>
      </w:pPr>
      <w:r>
        <w:rPr>
          <w:b/>
        </w:rPr>
        <w:t xml:space="preserve">O07  </w:t>
      </w:r>
      <w:hyperlink r:id="rId33">
        <w:r>
          <w:rPr>
            <w:color w:val="284B3B"/>
            <w:sz w:val="18"/>
          </w:rPr>
          <w:t>iPhone App Store downloads top 10 million</w:t>
        </w:r>
      </w:hyperlink>
    </w:p>
    <w:p>
      <w:pPr>
        <w:pStyle w:val="Caption"/>
        <w:spacing w:after="100"/>
      </w:pPr>
      <w:r>
        <w:t>Primary Product Release  |  2008-07-14</w:t>
      </w:r>
    </w:p>
    <w:p>
      <w:pPr>
        <w:spacing w:after="40"/>
      </w:pPr>
      <w:r>
        <w:rPr>
          <w:b/>
        </w:rPr>
        <w:t xml:space="preserve">O08  </w:t>
      </w:r>
      <w:hyperlink r:id="rId34">
        <w:r>
          <w:rPr>
            <w:color w:val="284B3B"/>
            <w:sz w:val="18"/>
          </w:rPr>
          <w:t>Apple introduces wireless keyboard and mouse</w:t>
        </w:r>
      </w:hyperlink>
    </w:p>
    <w:p>
      <w:pPr>
        <w:pStyle w:val="Caption"/>
        <w:spacing w:after="100"/>
      </w:pPr>
      <w:r>
        <w:t>Primary Product Release  |  2003-09-16</w:t>
      </w:r>
    </w:p>
    <w:p>
      <w:pPr>
        <w:spacing w:after="40"/>
      </w:pPr>
      <w:r>
        <w:rPr>
          <w:b/>
        </w:rPr>
        <w:t xml:space="preserve">O09  </w:t>
      </w:r>
      <w:hyperlink r:id="rId35">
        <w:r>
          <w:rPr>
            <w:color w:val="284B3B"/>
            <w:sz w:val="18"/>
          </w:rPr>
          <w:t>Wireless Internet Use — Pew Research Center</w:t>
        </w:r>
      </w:hyperlink>
    </w:p>
    <w:p>
      <w:pPr>
        <w:pStyle w:val="Caption"/>
        <w:spacing w:after="100"/>
      </w:pPr>
      <w:r>
        <w:t>Primary Survey  |  2009-07-22</w:t>
      </w:r>
    </w:p>
    <w:p>
      <w:r>
        <w:br w:type="page"/>
      </w:r>
    </w:p>
    <w:p>
      <w:pPr>
        <w:pStyle w:val="Heading1"/>
      </w:pPr>
      <w:r>
        <w:t>Source index · 2 of 2</w:t>
      </w:r>
    </w:p>
    <w:p>
      <w:pPr>
        <w:pStyle w:val="Caption"/>
      </w:pPr>
      <w:r>
        <w:t>Clickable titles open the checked source. Exact locators and claim-specific roles are in the JSON and detailed dossiers. Dates below are publication dates, not the forecast target or outcome year.</w:t>
      </w:r>
    </w:p>
    <w:p>
      <w:pPr>
        <w:spacing w:after="40"/>
      </w:pPr>
      <w:r>
        <w:rPr>
          <w:b/>
        </w:rPr>
        <w:t xml:space="preserve">O10  </w:t>
      </w:r>
      <w:hyperlink r:id="rId36">
        <w:r>
          <w:rPr>
            <w:color w:val="284B3B"/>
            <w:sz w:val="18"/>
          </w:rPr>
          <w:t>Apple launches iPhone 4S, iOS 5 and iCloud</w:t>
        </w:r>
      </w:hyperlink>
    </w:p>
    <w:p>
      <w:pPr>
        <w:pStyle w:val="Caption"/>
        <w:spacing w:after="100"/>
      </w:pPr>
      <w:r>
        <w:t>Primary Product Release  |  2011-10-04</w:t>
      </w:r>
    </w:p>
    <w:p>
      <w:pPr>
        <w:spacing w:after="40"/>
      </w:pPr>
      <w:r>
        <w:rPr>
          <w:b/>
        </w:rPr>
        <w:t xml:space="preserve">O11  </w:t>
      </w:r>
      <w:hyperlink r:id="rId18">
        <w:r>
          <w:rPr>
            <w:color w:val="284B3B"/>
            <w:sz w:val="18"/>
          </w:rPr>
          <w:t>How do you say? — Carnegie Mellon on Jibbigo</w:t>
        </w:r>
      </w:hyperlink>
    </w:p>
    <w:p>
      <w:pPr>
        <w:pStyle w:val="Caption"/>
        <w:spacing w:after="100"/>
      </w:pPr>
      <w:r>
        <w:t>Primary Researcher Product Account  |  2009</w:t>
      </w:r>
    </w:p>
    <w:p>
      <w:pPr>
        <w:spacing w:after="40"/>
      </w:pPr>
      <w:r>
        <w:rPr>
          <w:b/>
        </w:rPr>
        <w:t xml:space="preserve">O12  </w:t>
      </w:r>
      <w:hyperlink r:id="rId19">
        <w:r>
          <w:rPr>
            <w:color w:val="284B3B"/>
            <w:sz w:val="18"/>
          </w:rPr>
          <w:t>Start a conversation with Google</w:t>
        </w:r>
      </w:hyperlink>
    </w:p>
    <w:p>
      <w:pPr>
        <w:pStyle w:val="Caption"/>
        <w:spacing w:after="100"/>
      </w:pPr>
      <w:r>
        <w:t>Primary Product Release  |  2011-10-13</w:t>
      </w:r>
    </w:p>
    <w:p>
      <w:pPr>
        <w:spacing w:after="40"/>
      </w:pPr>
      <w:r>
        <w:rPr>
          <w:b/>
        </w:rPr>
        <w:t xml:space="preserve">O13  </w:t>
      </w:r>
      <w:hyperlink r:id="rId24">
        <w:r>
          <w:rPr>
            <w:color w:val="284B3B"/>
            <w:sz w:val="18"/>
          </w:rPr>
          <w:t>Excerpts of the President’s address to the nation</w:t>
        </w:r>
      </w:hyperlink>
    </w:p>
    <w:p>
      <w:pPr>
        <w:pStyle w:val="Caption"/>
        <w:spacing w:after="100"/>
      </w:pPr>
      <w:r>
        <w:t>Primary Government Record  |  2009-12-01</w:t>
      </w:r>
    </w:p>
    <w:p>
      <w:pPr>
        <w:spacing w:after="40"/>
      </w:pPr>
      <w:r>
        <w:rPr>
          <w:b/>
        </w:rPr>
        <w:t xml:space="preserve">O14  </w:t>
      </w:r>
      <w:hyperlink r:id="rId37">
        <w:r>
          <w:rPr>
            <w:color w:val="284B3B"/>
            <w:sz w:val="18"/>
          </w:rPr>
          <w:t>Automated Vehicle Safety — NHTSA</w:t>
        </w:r>
      </w:hyperlink>
    </w:p>
    <w:p>
      <w:pPr>
        <w:pStyle w:val="Caption"/>
        <w:spacing w:after="100"/>
      </w:pPr>
      <w:r>
        <w:t>Primary Regulator Guidance  |  Undated / live source</w:t>
      </w:r>
    </w:p>
    <w:p>
      <w:pPr>
        <w:spacing w:after="40"/>
      </w:pPr>
      <w:r>
        <w:rPr>
          <w:b/>
        </w:rPr>
        <w:t xml:space="preserve">O15  </w:t>
      </w:r>
      <w:hyperlink r:id="rId38">
        <w:r>
          <w:rPr>
            <w:color w:val="284B3B"/>
            <w:sz w:val="18"/>
          </w:rPr>
          <w:t>Cornell meets DARPA Urban Challenge</w:t>
        </w:r>
      </w:hyperlink>
    </w:p>
    <w:p>
      <w:pPr>
        <w:pStyle w:val="Caption"/>
        <w:spacing w:after="100"/>
      </w:pPr>
      <w:r>
        <w:t>Primary Research Participant Account  |  2007-11</w:t>
      </w:r>
    </w:p>
    <w:p>
      <w:pPr>
        <w:spacing w:after="40"/>
      </w:pPr>
      <w:r>
        <w:rPr>
          <w:b/>
        </w:rPr>
        <w:t xml:space="preserve">O16  </w:t>
      </w:r>
      <w:hyperlink r:id="rId21">
        <w:r>
          <w:rPr>
            <w:color w:val="284B3B"/>
            <w:sz w:val="18"/>
          </w:rPr>
          <w:t>Mortality in the United States, 2019 — CDC Data Brief 395</w:t>
        </w:r>
      </w:hyperlink>
    </w:p>
    <w:p>
      <w:pPr>
        <w:pStyle w:val="Caption"/>
        <w:spacing w:after="100"/>
      </w:pPr>
      <w:r>
        <w:t>Primary Official Statistics  |  2020-12</w:t>
      </w:r>
    </w:p>
    <w:p>
      <w:pPr>
        <w:spacing w:after="40"/>
      </w:pPr>
      <w:r>
        <w:rPr>
          <w:b/>
        </w:rPr>
        <w:t xml:space="preserve">O17  </w:t>
      </w:r>
      <w:hyperlink r:id="rId22">
        <w:r>
          <w:rPr>
            <w:color w:val="284B3B"/>
            <w:sz w:val="18"/>
          </w:rPr>
          <w:t>Mortality in the United States, 2024 — CDC Data Brief 548</w:t>
        </w:r>
      </w:hyperlink>
    </w:p>
    <w:p>
      <w:pPr>
        <w:pStyle w:val="Caption"/>
        <w:spacing w:after="100"/>
      </w:pPr>
      <w:r>
        <w:t>Primary Official Statistics  |  2026-01</w:t>
      </w:r>
    </w:p>
    <w:p>
      <w:pPr>
        <w:spacing w:after="40"/>
      </w:pPr>
      <w:r>
        <w:rPr>
          <w:b/>
        </w:rPr>
        <w:t xml:space="preserve">O18  </w:t>
      </w:r>
      <w:hyperlink r:id="rId25">
        <w:r>
          <w:rPr>
            <w:color w:val="284B3B"/>
            <w:sz w:val="18"/>
          </w:rPr>
          <w:t>TOP500 — November 2009 list</w:t>
        </w:r>
      </w:hyperlink>
    </w:p>
    <w:p>
      <w:pPr>
        <w:pStyle w:val="Caption"/>
        <w:spacing w:after="100"/>
      </w:pPr>
      <w:r>
        <w:t>Primary Benchmark Data  |  2009-11</w:t>
      </w:r>
    </w:p>
    <w:p>
      <w:pPr>
        <w:spacing w:after="40"/>
      </w:pPr>
      <w:r>
        <w:rPr>
          <w:b/>
        </w:rPr>
        <w:t xml:space="preserve">O19  </w:t>
      </w:r>
      <w:hyperlink r:id="rId26">
        <w:r>
          <w:rPr>
            <w:color w:val="284B3B"/>
            <w:sz w:val="18"/>
          </w:rPr>
          <w:t>TOP500 — November 2012 list</w:t>
        </w:r>
      </w:hyperlink>
    </w:p>
    <w:p>
      <w:pPr>
        <w:pStyle w:val="Caption"/>
        <w:spacing w:after="100"/>
      </w:pPr>
      <w:r>
        <w:t>Primary Benchmark Data  |  2012-11</w:t>
      </w:r>
    </w:p>
    <w:p>
      <w:pPr>
        <w:spacing w:after="40"/>
      </w:pPr>
      <w:r>
        <w:rPr>
          <w:b/>
        </w:rPr>
        <w:t xml:space="preserve">O20  </w:t>
      </w:r>
      <w:hyperlink r:id="rId27">
        <w:r>
          <w:rPr>
            <w:color w:val="284B3B"/>
            <w:sz w:val="18"/>
          </w:rPr>
          <w:t>TOP500 — June 2013 highlights</w:t>
        </w:r>
      </w:hyperlink>
    </w:p>
    <w:p>
      <w:pPr>
        <w:pStyle w:val="Caption"/>
        <w:spacing w:after="100"/>
      </w:pPr>
      <w:r>
        <w:t>Primary Benchmark Data  |  2013-06</w:t>
      </w:r>
    </w:p>
    <w:p>
      <w:pPr>
        <w:spacing w:after="40"/>
      </w:pPr>
      <w:r>
        <w:rPr>
          <w:b/>
        </w:rPr>
        <w:t xml:space="preserve">O21  </w:t>
      </w:r>
      <w:hyperlink r:id="rId39">
        <w:r>
          <w:rPr>
            <w:color w:val="284B3B"/>
            <w:sz w:val="18"/>
          </w:rPr>
          <w:t>Large Language Models Pass the Turing Test — Jones and Bergen</w:t>
        </w:r>
      </w:hyperlink>
    </w:p>
    <w:p>
      <w:pPr>
        <w:pStyle w:val="Caption"/>
        <w:spacing w:after="100"/>
      </w:pPr>
      <w:r>
        <w:t>Primary Research Paper  |  2025-03-31</w:t>
      </w:r>
    </w:p>
    <w:p>
      <w:pPr>
        <w:spacing w:after="40"/>
      </w:pPr>
      <w:r>
        <w:rPr>
          <w:b/>
        </w:rPr>
        <w:t xml:space="preserve">O22  </w:t>
      </w:r>
      <w:hyperlink r:id="rId40">
        <w:r>
          <w:rPr>
            <w:color w:val="284B3B"/>
            <w:sz w:val="18"/>
          </w:rPr>
          <w:t>ECG app and irregular rhythm notification available on Apple Watch</w:t>
        </w:r>
      </w:hyperlink>
    </w:p>
    <w:p>
      <w:pPr>
        <w:pStyle w:val="Caption"/>
        <w:spacing w:after="100"/>
      </w:pPr>
      <w:r>
        <w:t>Primary Product Release  |  2018-12-06</w:t>
      </w:r>
    </w:p>
    <w:p>
      <w:pPr>
        <w:spacing w:after="40"/>
      </w:pPr>
      <w:r>
        <w:rPr>
          <w:b/>
        </w:rPr>
        <w:t xml:space="preserve">O23  </w:t>
      </w:r>
      <w:hyperlink r:id="rId28">
        <w:r>
          <w:rPr>
            <w:color w:val="284B3B"/>
            <w:sz w:val="18"/>
          </w:rPr>
          <w:t>What educators need to know about cochlear implants — FDA</w:t>
        </w:r>
      </w:hyperlink>
    </w:p>
    <w:p>
      <w:pPr>
        <w:pStyle w:val="Caption"/>
        <w:spacing w:after="100"/>
      </w:pPr>
      <w:r>
        <w:t>Primary Regulator Guidance  |  Undated / live source</w:t>
      </w:r>
    </w:p>
    <w:p>
      <w:pPr>
        <w:spacing w:after="40"/>
      </w:pPr>
      <w:r>
        <w:rPr>
          <w:b/>
        </w:rPr>
        <w:t xml:space="preserve">O24  </w:t>
      </w:r>
      <w:hyperlink r:id="rId41">
        <w:r>
          <w:rPr>
            <w:color w:val="284B3B"/>
            <w:sz w:val="18"/>
          </w:rPr>
          <w:t>Waymo opens more rides in Denver, San Diego and Tampa</w:t>
        </w:r>
      </w:hyperlink>
    </w:p>
    <w:p>
      <w:pPr>
        <w:pStyle w:val="Caption"/>
        <w:spacing w:after="100"/>
      </w:pPr>
      <w:r>
        <w:t>Primary Operator Report  |  2026-09-01</w:t>
      </w:r>
    </w:p>
    <w:p>
      <w:pPr>
        <w:spacing w:after="40"/>
      </w:pPr>
      <w:r>
        <w:rPr>
          <w:b/>
        </w:rPr>
        <w:t xml:space="preserve">O25  </w:t>
      </w:r>
      <w:hyperlink r:id="rId42">
        <w:r>
          <w:rPr>
            <w:color w:val="284B3B"/>
            <w:sz w:val="18"/>
          </w:rPr>
          <w:t>iRobot reports third-quarter financial results</w:t>
        </w:r>
      </w:hyperlink>
    </w:p>
    <w:p>
      <w:pPr>
        <w:pStyle w:val="Caption"/>
        <w:spacing w:after="100"/>
      </w:pPr>
      <w:r>
        <w:t>Primary Company Report  |  2019-10-22</w:t>
      </w:r>
    </w:p>
    <w:sectPr w:rsidR="00FC693F" w:rsidRPr="0006063C" w:rsidSect="00034616">
      <w:headerReference w:type="default" r:id="rId9"/>
      <w:footerReference w:type="default" r:id="rId10"/>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14 October 2026  ·  v0.2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KURZWEIL SCORECARD  /  EVIDENCE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mbria" w:hAnsi="Cambria"/>
      <w:b/>
      <w:bCs/>
      <w:color w:val="284B3B"/>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284B3B"/>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284B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mbria" w:hAnsi="Cambria"/>
      <w:color w:val="284B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45C"/>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ongbets.org/1/" TargetMode="External"/><Relationship Id="rId12" Type="http://schemas.openxmlformats.org/officeDocument/2006/relationships/hyperlink" Target="https://www.bvp.com/atlas/ai-escape-velocity-a-conversation-with-ray-kurzweil" TargetMode="External"/><Relationship Id="rId13" Type="http://schemas.openxmlformats.org/officeDocument/2006/relationships/hyperlink" Target="https://www.axios.com/2018/04/13/ray-kurzweil-universal-basic-income-will-arrive-in-the-2030s-1523655832" TargetMode="External"/><Relationship Id="rId14" Type="http://schemas.openxmlformats.org/officeDocument/2006/relationships/hyperlink" Target="https://www.pressandappearances.com/solar-power-to-rule-in-20-years-futurists-say-2" TargetMode="External"/><Relationship Id="rId15" Type="http://schemas.openxmlformats.org/officeDocument/2006/relationships/hyperlink" Target="https://www.apple.com/newsroom/2000/02/16Apple-Unveils-New-PowerBook-The-Fastest-Portable-Ever/" TargetMode="External"/><Relationship Id="rId16" Type="http://schemas.openxmlformats.org/officeDocument/2006/relationships/hyperlink" Target="https://www.apple.com/newsroom/2008/01/15Apple-Introduces-MacBook-Air-The-Worlds-Thinnest-Notebook/" TargetMode="External"/><Relationship Id="rId17" Type="http://schemas.openxmlformats.org/officeDocument/2006/relationships/hyperlink" Target="https://www.apple.com/newsroom/2001/01/09Apple-Unveils-One-Inch-Thick-Titanium-PowerBook-G4/" TargetMode="External"/><Relationship Id="rId18" Type="http://schemas.openxmlformats.org/officeDocument/2006/relationships/hyperlink" Target="https://www.cmu.edu/homepage/society/2009/fall/how-do-you-say.shtml" TargetMode="External"/><Relationship Id="rId19" Type="http://schemas.openxmlformats.org/officeDocument/2006/relationships/hyperlink" Target="https://translate.googleblog.com/2011/10/start-conversation-with-google.html" TargetMode="External"/><Relationship Id="rId20" Type="http://schemas.openxmlformats.org/officeDocument/2006/relationships/hyperlink" Target="https://iranscope.ghandchi.com/Anthology/Kurzweil-SM.htm" TargetMode="External"/><Relationship Id="rId21" Type="http://schemas.openxmlformats.org/officeDocument/2006/relationships/hyperlink" Target="https://www.cdc.gov/nchs/products/databriefs/db395.htm" TargetMode="External"/><Relationship Id="rId22" Type="http://schemas.openxmlformats.org/officeDocument/2006/relationships/hyperlink" Target="https://www.cdc.gov/nchs/products/databriefs/db548.htm" TargetMode="External"/><Relationship Id="rId23" Type="http://schemas.openxmlformats.org/officeDocument/2006/relationships/hyperlink" Target="https://www.thekurzweillibrary.com/images/How-My-Predictions-Are-Faring.pdf" TargetMode="External"/><Relationship Id="rId24" Type="http://schemas.openxmlformats.org/officeDocument/2006/relationships/hyperlink" Target="https://obamawhitehouse.archives.gov/the-press-office/excerpts-presidents-address-nation" TargetMode="External"/><Relationship Id="rId25" Type="http://schemas.openxmlformats.org/officeDocument/2006/relationships/hyperlink" Target="https://www.top500.org/lists/top500/2009/11/" TargetMode="External"/><Relationship Id="rId26" Type="http://schemas.openxmlformats.org/officeDocument/2006/relationships/hyperlink" Target="https://www.top500.org/lists/top500/2012/11/" TargetMode="External"/><Relationship Id="rId27" Type="http://schemas.openxmlformats.org/officeDocument/2006/relationships/hyperlink" Target="https://www.top500.org/lists/top500/2013/06/highlights/" TargetMode="External"/><Relationship Id="rId28" Type="http://schemas.openxmlformats.org/officeDocument/2006/relationships/hyperlink" Target="https://www.fda.gov/medical-devices/cochlear-implants/what-educators-need-know" TargetMode="External"/><Relationship Id="rId29" Type="http://schemas.openxmlformats.org/officeDocument/2006/relationships/hyperlink" Target="https://www.writingsbyraykurzweil.com/so-what-is-the-singularity" TargetMode="External"/><Relationship Id="rId30" Type="http://schemas.openxmlformats.org/officeDocument/2006/relationships/hyperlink" Target="https://www.ibm.com/history/deep-blue" TargetMode="External"/><Relationship Id="rId31" Type="http://schemas.openxmlformats.org/officeDocument/2006/relationships/hyperlink" Target="https://press.aboutamazon.com/2007/11/introducing-amazon-kindle" TargetMode="External"/><Relationship Id="rId32" Type="http://schemas.openxmlformats.org/officeDocument/2006/relationships/hyperlink" Target="https://www.apple.com/newsroom/2008/06/19iTunes-Store-Tops-Over-Five-Billion-Songs-Sold/" TargetMode="External"/><Relationship Id="rId33" Type="http://schemas.openxmlformats.org/officeDocument/2006/relationships/hyperlink" Target="https://www.apple.com/newsroom/2008/07/14iPhone-App-Store-Downloads-Top-10-Million-in-First-Weekend/" TargetMode="External"/><Relationship Id="rId34" Type="http://schemas.openxmlformats.org/officeDocument/2006/relationships/hyperlink" Target="https://www.apple.com/ca/newsroom/2003/09/16Apple-Introduces-Wireless-Keyboard-Mouse/" TargetMode="External"/><Relationship Id="rId35" Type="http://schemas.openxmlformats.org/officeDocument/2006/relationships/hyperlink" Target="https://www.pewresearch.org/internet/2009/07/22/wireless-internet-use/" TargetMode="External"/><Relationship Id="rId36" Type="http://schemas.openxmlformats.org/officeDocument/2006/relationships/hyperlink" Target="https://www.apple.com/newsroom/2011/10/04Apple-Launches-iPhone-4S-iOS-5-iCloud/" TargetMode="External"/><Relationship Id="rId37" Type="http://schemas.openxmlformats.org/officeDocument/2006/relationships/hyperlink" Target="https://www.nhtsa.gov/vehicle-safety/automated-vehicle-safety" TargetMode="External"/><Relationship Id="rId38" Type="http://schemas.openxmlformats.org/officeDocument/2006/relationships/hyperlink" Target="https://news.cornell.edu/stories/2007/11/cornell-meets-darpa-urban-challenge" TargetMode="External"/><Relationship Id="rId39" Type="http://schemas.openxmlformats.org/officeDocument/2006/relationships/hyperlink" Target="https://arxiv.org/abs/2503.23674" TargetMode="External"/><Relationship Id="rId40" Type="http://schemas.openxmlformats.org/officeDocument/2006/relationships/hyperlink" Target="https://www.apple.com/newsroom/2018/12/ecg-app-and-irregular-heart-rhythm-notification-available-today-on-apple-watch/" TargetMode="External"/><Relationship Id="rId41" Type="http://schemas.openxmlformats.org/officeDocument/2006/relationships/hyperlink" Target="https://blog.waymo.com/blog/2026/09/ride-in-denver-san-diego-tampa/" TargetMode="External"/><Relationship Id="rId42" Type="http://schemas.openxmlformats.org/officeDocument/2006/relationships/hyperlink" Target="https://media.irobot.com/2019-10-22-iRobot-Reports-Third-Quarter-Financial-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Kurzweil Scorecard — Verification Supplement v0.2</dc:title>
  <dc:subject>Source-backed editorial assessments, legacy reconciliation and website data handoff</dc:subject>
  <dc:creator>Kurzweil Scorecard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