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0A693"/>
          <w:sz w:val="20"/>
        </w:rPr>
        <w:t>QUALCOMM SNAPDRAGON AI LAB HACKATHON SUBMISSION</w:t>
      </w:r>
    </w:p>
    <w:p>
      <w:pPr>
        <w:spacing w:after="80"/>
      </w:pPr>
      <w:r>
        <w:rPr>
          <w:rFonts w:ascii="Calibri" w:hAnsi="Calibri"/>
          <w:b/>
          <w:color w:val="0066CC"/>
          <w:sz w:val="48"/>
        </w:rPr>
        <w:t>MediSense Edge — On-Device Medical Intelligence</w:t>
      </w:r>
    </w:p>
    <w:p>
      <w:pPr>
        <w:spacing w:after="280"/>
      </w:pPr>
      <w:r>
        <w:rPr>
          <w:rFonts w:ascii="Calibri" w:hAnsi="Calibri"/>
          <w:b/>
          <w:color w:val="4F46E5"/>
          <w:sz w:val="26"/>
        </w:rPr>
        <w:t>100% On-Device Clinical Decision Support Suite · 0 KB Cloud Data Egress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 xml:space="preserve">Target Platform: </w:t>
            </w:r>
            <w:r>
              <w:rPr>
                <w:color w:val="334155"/>
                <w:sz w:val="19"/>
              </w:rPr>
              <w:t>Snapdragon-powered HP PCs (Snapdragon X Elite / Snapdragon X Plus)</w:t>
            </w:r>
          </w:p>
        </w:tc>
        <w:tc>
          <w:tcPr>
            <w:tcW w:type="dxa" w:w="4896"/>
            <w:shd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 xml:space="preserve">AI Hardware Engine: </w:t>
            </w:r>
            <w:r>
              <w:rPr>
                <w:color w:val="334155"/>
                <w:sz w:val="19"/>
              </w:rPr>
              <w:t>Qualcomm Hexagon NPU (45 TOPS) + Qualcomm AI Hub</w:t>
            </w:r>
          </w:p>
        </w:tc>
      </w:tr>
      <w:tr>
        <w:tc>
          <w:tcPr>
            <w:tcW w:type="dxa" w:w="4896"/>
            <w:shd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 xml:space="preserve">Developer / Author: </w:t>
            </w:r>
            <w:r>
              <w:rPr>
                <w:color w:val="334155"/>
                <w:sz w:val="19"/>
              </w:rPr>
              <w:t>Abhinav Tripathi (github.com/at84004630-del)</w:t>
            </w:r>
          </w:p>
        </w:tc>
        <w:tc>
          <w:tcPr>
            <w:tcW w:type="dxa" w:w="4896"/>
            <w:shd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 xml:space="preserve">Privacy Standard: </w:t>
            </w:r>
            <w:r>
              <w:rPr>
                <w:color w:val="334155"/>
                <w:sz w:val="19"/>
              </w:rPr>
              <w:t>Air-Gapped Local RAM Isolation (HIPAA &amp; GDPR Sovereign)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color w:val="0066CC"/>
        </w:rPr>
        <w:t>1. The Healthcare Problem: The Cloud AI Dilemma</w:t>
      </w:r>
    </w:p>
    <w:p>
      <w:pPr>
        <w:spacing w:after="60"/>
      </w:pPr>
      <w:r>
        <w:rPr>
          <w:sz w:val="21"/>
        </w:rPr>
        <w:t>Modern healthcare urgently needs artificial intelligence to accelerate triage, catch diagnostic oversights, and prevent fatal medication errors. However, legacy cloud-hosted AI architectures suffer from three critical bottlenecks:</w:t>
        <w:br/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Severe PHI Privacy Violations: </w:t>
      </w:r>
      <w:r>
        <w:rPr>
          <w:color w:val="334155"/>
          <w:sz w:val="20"/>
        </w:rPr>
        <w:t>Transmitting medical scans, audio consults, and clinical history across the internet exposes hospitals to massive HIPAA and GDPR regulatory penalties. Medical breaches average $10.9M per occurrence.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Latency &amp; Connectivity Blackouts: </w:t>
      </w:r>
      <w:r>
        <w:rPr>
          <w:color w:val="334155"/>
          <w:sz w:val="20"/>
        </w:rPr>
        <w:t>Cloud APIs introduce 400ms – 1500ms round-trip latency, unacceptable during acute emergency room triage. Furthermore, over 45% of rural clinics, field hospitals, and natural disaster zones lack reliable broadband.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Prohibitive Recurring SaaS Fees: </w:t>
      </w:r>
      <w:r>
        <w:rPr>
          <w:color w:val="334155"/>
          <w:sz w:val="20"/>
        </w:rPr>
        <w:t>Paying $0.04 to $0.10 per multimodal AI call creates high recurring monthly bills that burden resource-constrained community healthcare centers.</w:t>
      </w:r>
    </w:p>
    <w:p>
      <w:pPr>
        <w:pStyle w:val="Heading1"/>
        <w:spacing w:before="240" w:after="80"/>
      </w:pPr>
      <w:r>
        <w:rPr>
          <w:color w:val="0066CC"/>
        </w:rPr>
        <w:t>2. The MediSense Edge Solution</w:t>
      </w:r>
    </w:p>
    <w:p>
      <w:pPr>
        <w:spacing w:after="160"/>
      </w:pPr>
      <w:r>
        <w:rPr>
          <w:sz w:val="21"/>
        </w:rPr>
        <w:t>MediSense Edge solves this dilemma by establishing a 100% on-device, multi-modal clinical intelligence assistant running locally on Snapdragon-powered HP PCs. By pairing quantized INT4/INT8 models compiled through Qualcomm AI Hub with the Snapdragon X Elite Hexagon NPU (45 TOPS), MediSense Edge delivers instantaneous diagnostic reasoning with zero cloud data egress, zero recurring cost, and all-day battery endurance.</w:t>
      </w:r>
    </w:p>
    <w:p>
      <w:pPr>
        <w:pStyle w:val="Heading1"/>
        <w:spacing w:before="240" w:after="80"/>
      </w:pPr>
      <w:r>
        <w:rPr>
          <w:color w:val="0066CC"/>
        </w:rPr>
        <w:t>3. Qualcomm AI Hub Model Portfolio &amp;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Model Name</w:t>
            </w:r>
          </w:p>
        </w:tc>
        <w:tc>
          <w:tcPr>
            <w:tcW w:type="dxa" w:w="3168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Clinical Task</w:t>
            </w:r>
          </w:p>
        </w:tc>
        <w:tc>
          <w:tcPr>
            <w:tcW w:type="dxa" w:w="1296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Quantization</w:t>
            </w:r>
          </w:p>
        </w:tc>
        <w:tc>
          <w:tcPr>
            <w:tcW w:type="dxa" w:w="1008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1152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NPU TOPS</w:t>
            </w:r>
          </w:p>
        </w:tc>
        <w:tc>
          <w:tcPr>
            <w:tcW w:type="dxa" w:w="1152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Latency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Whisper Base</w:t>
            </w:r>
          </w:p>
        </w:tc>
        <w:tc>
          <w:tcPr>
            <w:tcW w:type="dxa" w:w="316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Real-Time Speech-to-Text</w:t>
            </w:r>
          </w:p>
        </w:tc>
        <w:tc>
          <w:tcPr>
            <w:tcW w:type="dxa" w:w="1296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74M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0.8 TOPS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18 ms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Phi-3.5 Mini</w:t>
            </w:r>
          </w:p>
        </w:tc>
        <w:tc>
          <w:tcPr>
            <w:tcW w:type="dxa" w:w="316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Differential Diagnostic Reasoning</w:t>
            </w:r>
          </w:p>
        </w:tc>
        <w:tc>
          <w:tcPr>
            <w:tcW w:type="dxa" w:w="1296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INT4</w:t>
            </w:r>
          </w:p>
        </w:tc>
        <w:tc>
          <w:tcPr>
            <w:tcW w:type="dxa" w:w="100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3.8B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18.0 TOPS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42 ms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ResNet-50</w:t>
            </w:r>
          </w:p>
        </w:tc>
        <w:tc>
          <w:tcPr>
            <w:tcW w:type="dxa" w:w="316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Dermoscopy &amp; Melanoma Screening</w:t>
            </w:r>
          </w:p>
        </w:tc>
        <w:tc>
          <w:tcPr>
            <w:tcW w:type="dxa" w:w="1296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25M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3.8 TOPS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12 ms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DenseNet-121</w:t>
            </w:r>
          </w:p>
        </w:tc>
        <w:tc>
          <w:tcPr>
            <w:tcW w:type="dxa" w:w="316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Chest X-Ray Radiograph Pathology</w:t>
            </w:r>
          </w:p>
        </w:tc>
        <w:tc>
          <w:tcPr>
            <w:tcW w:type="dxa" w:w="1296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8M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1.4 TOPS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22 ms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EfficientNet-B4</w:t>
            </w:r>
          </w:p>
        </w:tc>
        <w:tc>
          <w:tcPr>
            <w:tcW w:type="dxa" w:w="316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Diabetic Retinopathy Fundus</w:t>
            </w:r>
          </w:p>
        </w:tc>
        <w:tc>
          <w:tcPr>
            <w:tcW w:type="dxa" w:w="1296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19M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2.6 TOPS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16 ms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YOLOv8-Medical</w:t>
            </w:r>
          </w:p>
        </w:tc>
        <w:tc>
          <w:tcPr>
            <w:tcW w:type="dxa" w:w="316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Surgical Wound &amp; Granulation</w:t>
            </w:r>
          </w:p>
        </w:tc>
        <w:tc>
          <w:tcPr>
            <w:tcW w:type="dxa" w:w="1296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3.2M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2.0 TOPS</w:t>
            </w:r>
          </w:p>
        </w:tc>
        <w:tc>
          <w:tcPr>
            <w:tcW w:type="dxa" w:w="1152"/>
            <w:shd w:fill="F8FAFC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14 ms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BioBERT</w:t>
            </w:r>
          </w:p>
        </w:tc>
        <w:tc>
          <w:tcPr>
            <w:tcW w:type="dxa" w:w="316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Pairwise Drug Contraindications</w:t>
            </w:r>
          </w:p>
        </w:tc>
        <w:tc>
          <w:tcPr>
            <w:tcW w:type="dxa" w:w="1296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INT8</w:t>
            </w:r>
          </w:p>
        </w:tc>
        <w:tc>
          <w:tcPr>
            <w:tcW w:type="dxa" w:w="1008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110M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2.1 TOPS</w:t>
            </w:r>
          </w:p>
        </w:tc>
        <w:tc>
          <w:tcPr>
            <w:tcW w:type="dxa" w:w="1152"/>
            <w:shd w:fill="FFFFFF"/>
          </w:tcPr>
          <w:p>
            <w:pPr>
              <w:spacing w:before="50" w:after="50"/>
            </w:pPr>
            <w:r>
              <w:rPr>
                <w:b/>
                <w:color w:val="00A693"/>
                <w:sz w:val="18"/>
              </w:rPr>
              <w:t>35 ms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color w:val="0066CC"/>
        </w:rPr>
        <w:t>4. The Snapdragon NPU Advantage: Empirical Benchmarks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Metric / Benchmark</w:t>
            </w:r>
          </w:p>
        </w:tc>
        <w:tc>
          <w:tcPr>
            <w:tcW w:type="dxa" w:w="2592"/>
            <w:shd w:fill="008C78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⚡ Snapdragon Hexagon NPU</w:t>
            </w:r>
          </w:p>
        </w:tc>
        <w:tc>
          <w:tcPr>
            <w:tcW w:type="dxa" w:w="2304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☁️ Cloud Medical API</w:t>
            </w:r>
          </w:p>
        </w:tc>
        <w:tc>
          <w:tcPr>
            <w:tcW w:type="dxa" w:w="2304"/>
            <w:shd w:fill="0066CC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💻 Standard x86 CPU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Inference Latency</w:t>
            </w:r>
          </w:p>
        </w:tc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14 – 18 ms (Instant)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420 ms (Network RTT)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380 ms (Compute Bound)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Active Power Draw</w:t>
            </w:r>
          </w:p>
        </w:tc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1.4 Watts (Ultra-Efficient)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~35 Watts Server Equiv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28 Watts (Thermal Throttle)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Data Privacy &amp; Egress</w:t>
            </w:r>
          </w:p>
        </w:tc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0 KB sent to cloud (Air-Gapped)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4.8 MB transmitted per scan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0 KB (Local RAM)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Offline Availability</w:t>
            </w:r>
          </w:p>
        </w:tc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100% Functional (Zero Internet)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0% (Fails Offline)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100% Functional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Operating Cost / Call</w:t>
            </w:r>
          </w:p>
        </w:tc>
        <w:tc>
          <w:tcPr>
            <w:tcW w:type="dxa" w:w="2592"/>
            <w:shd w:fill="FFFFFF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$0 / month (Local hardware)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$0.04 – $0.10 per call</w:t>
            </w:r>
          </w:p>
        </w:tc>
        <w:tc>
          <w:tcPr>
            <w:tcW w:type="dxa" w:w="2304"/>
            <w:shd w:fill="FFFFFF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$0 / month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F172A"/>
                <w:sz w:val="18"/>
              </w:rPr>
              <w:t>Battery Life (Laptop)</w:t>
            </w:r>
          </w:p>
        </w:tc>
        <w:tc>
          <w:tcPr>
            <w:tcW w:type="dxa" w:w="2592"/>
            <w:shd w:fill="F8FAFC"/>
          </w:tcPr>
          <w:p>
            <w:pPr>
              <w:spacing w:before="50" w:after="50"/>
            </w:pPr>
            <w:r>
              <w:rPr>
                <w:b/>
                <w:color w:val="008C78"/>
                <w:sz w:val="18"/>
              </w:rPr>
              <w:t>14+ Hours continuous duty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Modem battery drain</w:t>
            </w:r>
          </w:p>
        </w:tc>
        <w:tc>
          <w:tcPr>
            <w:tcW w:type="dxa" w:w="2304"/>
            <w:shd w:fill="F8FAFC"/>
          </w:tcPr>
          <w:p>
            <w:pPr>
              <w:spacing w:before="50" w:after="50"/>
            </w:pPr>
            <w:r>
              <w:rPr>
                <w:color w:val="334155"/>
                <w:sz w:val="18"/>
              </w:rPr>
              <w:t>3.2 Hours before exhaustion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color w:val="0066CC"/>
        </w:rPr>
        <w:t>5. Core Clinical Modules in MediSense Edge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1. Symptom AI Checker (/symptoms): </w:t>
      </w:r>
      <w:r>
        <w:rPr>
          <w:color w:val="334155"/>
          <w:sz w:val="20"/>
        </w:rPr>
        <w:t>Real-time speech-to-text streaming via Whisper Base with live audio waveform animation. Dynamically auto-tags spoken symptoms and anatomical terms, triggering Microsoft Phi-3.5 Mini to formulate prioritized differential diagnoses with local text-to-speech (TTS) audio readout.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2. Multi-Modal Vision Diagnostics (/imaging): </w:t>
      </w:r>
      <w:r>
        <w:rPr>
          <w:color w:val="334155"/>
          <w:sz w:val="20"/>
        </w:rPr>
        <w:t>Evaluates dermoscopy (melanoma), chest radiographs (pneumonia/effusion), retinal fundus, and surgical wounds. Features an interactive Grad-CAM Class Activation Mapping overlay revealing the exact neural attention heatmap.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3. Pharmacology Interaction Safety (/drugs): </w:t>
      </w:r>
      <w:r>
        <w:rPr>
          <w:color w:val="334155"/>
          <w:sz w:val="20"/>
        </w:rPr>
        <w:t>Calculates pairwise combinatorics across patient medication lists. BioBERT identifies high-risk CYP450 enzyme collisions, fatal bleeding hazards (Warfarin + Aspirin), and hyperkalemia alerts with 1-click clinical presets.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4. Multi-Organ Health Risk Profiler (/risk): </w:t>
      </w:r>
      <w:r>
        <w:rPr>
          <w:color w:val="334155"/>
          <w:sz w:val="20"/>
        </w:rPr>
        <w:t>Dynamically evaluates 10-year Atherosclerotic Cardiovascular Disease (ASCVD), metabolic, respiratory, and renal risks with reactive Recharts radar and bar visualizations.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5. AI Model Hub &amp; Live NPU Benchmark Suite (/models): </w:t>
      </w:r>
      <w:r>
        <w:rPr>
          <w:color w:val="334155"/>
          <w:sz w:val="20"/>
        </w:rPr>
        <w:t>Live execution loop measuring P50/P99 latency, memory throughput, and power efficiency in real time directly on the Hexagon NPU.</w:t>
      </w:r>
    </w:p>
    <w:p>
      <w:pPr>
        <w:pStyle w:val="Heading1"/>
        <w:spacing w:before="240" w:after="80"/>
      </w:pPr>
      <w:r>
        <w:rPr>
          <w:color w:val="0066CC"/>
        </w:rPr>
        <w:t>6. UI/UX Overhaul: Adaptive Dual-Theme &amp; Mobile-First Design</w:t>
      </w:r>
    </w:p>
    <w:p>
      <w:pPr>
        <w:spacing w:after="240"/>
      </w:pPr>
      <w:r>
        <w:rPr>
          <w:sz w:val="20"/>
        </w:rPr>
        <w:t>MediSense Edge features a completely rebuilt clinical design system:</w:t>
        <w:br/>
        <w:t>• Light Mode as Default: Tailored for brightly lit hospital wards with crisp white/slate surfaces and deep clinical blue (#0066CC) accents complying with strict WCAG AAA contrast standards.</w:t>
        <w:br/>
        <w:t>• Cyber-Clinical Dark Mode: Low-light view optimized for night shifts, ICUs, and radiology suites with an animated Sun/Moon toggle and localStorage persistence.</w:t>
        <w:br/>
        <w:t>• Mobile-First Responsive Drawer: Slide-in navigation drawer with frosted glass blur backdrop, mobile search FAB, and ergonomic cursor calibration.</w:t>
      </w:r>
    </w:p>
    <w:p>
      <w:pPr>
        <w:pStyle w:val="Heading1"/>
        <w:spacing w:before="240" w:after="80"/>
      </w:pPr>
      <w:r>
        <w:rPr>
          <w:color w:val="0066CC"/>
        </w:rPr>
        <w:t>7. Submission Summary &amp; Repository Link</w:t>
      </w:r>
    </w:p>
    <w:p>
      <w:r>
        <w:rPr>
          <w:b/>
          <w:sz w:val="21"/>
        </w:rPr>
        <w:t xml:space="preserve">• GitHub Repository: </w:t>
      </w:r>
      <w:r>
        <w:rPr>
          <w:color w:val="0066CC"/>
          <w:sz w:val="21"/>
        </w:rPr>
        <w:t>https://github.com/at84004630-del/medisense-edge</w:t>
        <w:br/>
      </w:r>
      <w:r>
        <w:rPr>
          <w:b/>
          <w:sz w:val="21"/>
        </w:rPr>
        <w:t xml:space="preserve">• Target Hardware: </w:t>
      </w:r>
      <w:r>
        <w:rPr>
          <w:sz w:val="21"/>
        </w:rPr>
        <w:t>Snapdragon X Elite / Snapdragon X Plus (HP PC Ecosystem)</w:t>
        <w:br/>
      </w:r>
      <w:r>
        <w:rPr>
          <w:b/>
          <w:sz w:val="21"/>
        </w:rPr>
        <w:t xml:space="preserve">• License: </w:t>
      </w:r>
      <w:r>
        <w:rPr>
          <w:sz w:val="21"/>
        </w:rPr>
        <w:t>MIT Open-Source License</w:t>
        <w:br/>
      </w:r>
      <w:r>
        <w:rPr>
          <w:b/>
          <w:sz w:val="21"/>
        </w:rPr>
        <w:t xml:space="preserve">• Developer: </w:t>
      </w:r>
      <w:r>
        <w:rPr>
          <w:sz w:val="21"/>
        </w:rPr>
        <w:t>Abhinav Tripathi (at84004630@gmail.com)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