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B2545"/>
          <w:sz w:val="52"/>
          <w:szCs w:val="52"/>
        </w:rPr>
        <w:t xml:space="preserve">BFI</w:t>
      </w:r>
    </w:p>
    <w:p>
      <w:pPr>
        <w:spacing w:after="60"/>
      </w:pPr>
      <w:r>
        <w:rPr>
          <w:rFonts w:ascii="Calibri" w:cs="Calibri" w:eastAsia="Calibri" w:hAnsi="Calibri"/>
          <w:color w:val="667085"/>
          <w:sz w:val="16"/>
          <w:szCs w:val="16"/>
        </w:rPr>
        <w:t xml:space="preserve">BOLD FINANCIAL INTELLIGENCE · SİSTEMİK RİSK İZLEME</w:t>
      </w:r>
    </w:p>
    <w:p>
      <w:pPr>
        <w:pBdr>
          <w:bottom w:val="single" w:color="0B2545" w:sz="18" w:space="4"/>
        </w:pBdr>
        <w:spacing w:after="200"/>
      </w:pPr>
      <w:r>
        <w:rPr>
          <w:rFonts w:ascii="Calibri" w:cs="Calibri" w:eastAsia="Calibri" w:hAnsi="Calibri"/>
          <w:color w:val="667085"/>
          <w:sz w:val="18"/>
          <w:szCs w:val="18"/>
        </w:rPr>
        <w:t xml:space="preserve">Durum Raporu · Belge No: 88159699735D · Üretim: 25.09.2026 12:00 UTC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Genel Durum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D0D5DD" w:sz="4"/>
              <w:left w:val="single" w:color="B42318" w:sz="36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2318"/>
                <w:sz w:val="40"/>
                <w:szCs w:val="40"/>
              </w:rPr>
              <w:t xml:space="preserve">ALARM</w:t>
            </w:r>
          </w:p>
        </w:tc>
        <w:tc>
          <w:tcPr>
            <w:tcW w:type="pct" w:w="7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Fonların 20,9% kadarı aynı anda kendi normalinin belirgin altında çıkış gösteriyor (alarm seviyesi 10,4%, normal dönem ortalaması 4,4%).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Gösterge</w:t>
            </w:r>
          </w:p>
        </w:tc>
        <w:tc>
          <w:tcPr>
            <w:tcW w:type="pct" w:w="1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Seviye</w:t>
            </w:r>
          </w:p>
        </w:tc>
        <w:tc>
          <w:tcPr>
            <w:tcW w:type="pct" w:w="4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Fon çıkışı yaygınlığı (TEFAS)</w:t>
            </w:r>
          </w:p>
        </w:tc>
        <w:tc>
          <w:tcPr>
            <w:tcW w:type="pct" w:w="1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ALARM</w:t>
            </w:r>
          </w:p>
        </w:tc>
        <w:tc>
          <w:tcPr>
            <w:tcW w:type="pct" w:w="4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25.09.2026 haftası: 20,9% (910 fon izleniyor)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Kur şoku (TCMB EVDS)</w:t>
            </w:r>
          </w:p>
        </w:tc>
        <w:tc>
          <w:tcPr>
            <w:tcW w:type="pct" w:w="1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pct" w:w="4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 yok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3"/>
          <w:szCs w:val="23"/>
        </w:rPr>
        <w:t xml:space="preserve">1. FON ÇIKIŞI YAYGINLIĞI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Aynı hafta içinde fonların ne kadarının kendi normalinin belirgin altında çıkış yaşadığını gösterir. Tek bir fonun gürültüsü bu ölçüyü bozmaz; piyasa genelinde ortak bir hareket yaygınlığı yükseltir.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34"/>
                <w:szCs w:val="34"/>
              </w:rPr>
              <w:t xml:space="preserve">20,9%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Son hafta (25.09.2026)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34"/>
                <w:szCs w:val="34"/>
              </w:rPr>
              <w:t xml:space="preserve">4,4%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Normal dönem ortalaması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34"/>
                <w:szCs w:val="34"/>
              </w:rPr>
              <w:t xml:space="preserve">10,4%</w:t>
            </w:r>
          </w:p>
          <w:p>
            <w:r>
              <w:rPr>
                <w:rFonts w:ascii="Calibri" w:cs="Calibri" w:eastAsia="Calibri" w:hAnsi="Calibri"/>
                <w:color w:val="667085"/>
                <w:sz w:val="16"/>
                <w:szCs w:val="16"/>
              </w:rPr>
              <w:t xml:space="preserve">Alarm seviyesi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color w:val="667085"/>
          <w:sz w:val="18"/>
          <w:szCs w:val="18"/>
        </w:rPr>
        <w:t xml:space="preserve">Son haftalar (grafik PDF ve HTML sürümündedir):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Hafta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Yaygınlık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10.07.2026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4,8%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17.07.2026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3,4%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24.07.2026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4,8%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31.07.2026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5,5%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07.08.2026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4,6%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14.08.2026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4,6%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21.08.2026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5,0%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28.08.2026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4,0%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04.09.2026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6,0%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11.09.2026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7,0%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18.09.2026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10,8%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ALARM</w:t>
            </w:r>
          </w:p>
        </w:tc>
      </w:tr>
      <w:tr>
        <w:tc>
          <w:tcPr>
            <w:tcW w:type="pct" w:w="3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25.09.2026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20,9%</w:t>
            </w:r>
          </w:p>
        </w:tc>
        <w:tc>
          <w:tcPr>
            <w:tcW w:type="pct" w:w="33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ALARM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Kırmızı sütunlar alarm üreten haftalardır. İzleme seviyesi 7,4% ve üzeridir.</w:t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3"/>
          <w:szCs w:val="23"/>
        </w:rPr>
        <w:t xml:space="preserve">3. VERİ KAPSAMI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Kaynak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Alan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Gözlem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İlk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Son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Kayıt yok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3"/>
          <w:szCs w:val="23"/>
        </w:rPr>
        <w:t xml:space="preserve">4. BAKILACAKLAR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Çıkışı en yüksek fonların listesini ve para piyasası fonlarındaki hareketi kontrol edin.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Kur ve faiz gelişmelerini (TCMB duyuruları, KAP) aynı gün içinde karşılaştırın.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Alarm sürerse bir sonraki hafta verisiyle teyit edin; tek haftalık alarm kesin sonuç değildir.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Bu liste yatırım tavsiyesi değildir; incelenecek noktaları gösterir.</w:t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3"/>
          <w:szCs w:val="23"/>
        </w:rPr>
        <w:t xml:space="preserve">5. GÜVENİLİRLİK VE SINIRLAR</w:t>
      </w:r>
    </w:p>
    <w:p>
      <w:pPr>
        <w:pBdr>
          <w:top w:val="single" w:color="F0D58A" w:sz="4" w:space="4"/>
          <w:bottom w:val="single" w:color="F0D58A" w:sz="4" w:space="4"/>
          <w:left w:val="single" w:color="F0D58A" w:sz="4" w:space="6"/>
          <w:right w:val="single" w:color="F0D58A" w:sz="4" w:space="6"/>
        </w:pBdr>
        <w:shd w:fill="FFF8E6" w:color="auto" w:val="clear"/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Önemli: Bu sistemdeki modeller henüz kalibre edilmemiştir (M20: DEVELOPMENT, M21: DEVELOPMENT). Fon çıkışı alarmı şu ana kadar yalnız tek bir gerçek olayda (Eylül 2026) test edilmiş ve alarm olayla aynı hafta gelmiştir; erken uyarı süresi kanıtlanmamıştır. Kur şoku tanıma 5 olayın 4'ünde başarılıdır, ancak şoku önceden öngörmez. Bağımsız doğrulama yapılmamıştır. Raporu karar için tek başına dayanak yapmayın.</w:t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3"/>
          <w:szCs w:val="23"/>
        </w:rPr>
        <w:t xml:space="preserve">6. YÖNTEM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Konu</w:t>
            </w:r>
          </w:p>
        </w:tc>
        <w:tc>
          <w:tcPr>
            <w:tcW w:type="pct" w:w="7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Fon yaygınlığı</w:t>
            </w:r>
          </w:p>
        </w:tc>
        <w:tc>
          <w:tcPr>
            <w:tcW w:type="pct" w:w="7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 fon için haftalık net akışın kendi medyan/MAD'ine göre z skoru; z ≤ −3 olan fonların payı. Alarm seviyesi referans döneminden öğrenilir (ortalama + 4σ, ortalamanın 2 katı ya da +5 puanın en büyüğü). İzleme seviyesi ortalama + 2σ'dır (kabul edilmiş bir eşik, kalibre değil).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Kur şoku</w:t>
            </w:r>
          </w:p>
        </w:tc>
        <w:tc>
          <w:tcPr>
            <w:tcW w:type="pct" w:w="7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Günlük log getirinin önceki 250 günün medyan/MAD'ine göre ≥ 5 robust sigma ve ≥ %2 olması. Yalnız geçmiş veri kullanılır.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</w:t>
            </w:r>
          </w:p>
        </w:tc>
        <w:tc>
          <w:tcPr>
            <w:tcW w:type="pct" w:w="7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TEFAS fon verileri, TCMB EVDS kurları. Gözlemler yayın zamanı damgalıdır; sonradan düzeltmeler eski sonucu değiştirmez.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085"/>
        <w:sz w:val="14"/>
        <w:szCs w:val="14"/>
      </w:rPr>
      <w:t xml:space="preserve">BFI Durum Raporu · Belge No 88159699735D · Otomatik üretilmiştir ve 2026-09-25 tarihine kadar olan veriyi yansıtır. Sürüm örnek. Yatırım tavsiyesi değildir.   —   Sayfa </w:t>
    </w:r>
    <w:r>
      <w:rPr>
        <w:rFonts w:ascii="Calibri" w:cs="Calibri" w:eastAsia="Calibri" w:hAnsi="Calibri"/>
        <w:color w:val="66708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BFI Durum Raporu 88159699735D</dc:title>
  <dc:creator>BFI</dc:creator>
  <dc:description>Sistemik risk durum raporu</dc:description>
  <cp:lastModifiedBy>Un-named</cp:lastModifiedBy>
  <cp:revision>1</cp:revision>
  <dcterms:created xsi:type="dcterms:W3CDTF">2026-10-02T22:28:20.656Z</dcterms:created>
  <dcterms:modified xsi:type="dcterms:W3CDTF">2026-10-02T22:28:20.656Z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