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pPr>
      <w:r>
        <w:rPr>
          <w:rFonts w:ascii="Arial" w:cs="Arial" w:hAnsi="Arial"/>
          <w:b/>
          <w:bCs/>
          <w:color w:val="0B2545"/>
          <w:sz w:val="52"/>
          <w:szCs w:val="52"/>
          <w:rtl/>
        </w:rPr>
        <w:t xml:space="preserve">BFI</w:t>
      </w:r>
    </w:p>
    <w:p>
      <w:pPr>
        <w:bidi/>
        <w:spacing w:after="60"/>
      </w:pPr>
      <w:r>
        <w:rPr>
          <w:rFonts w:ascii="Arial" w:cs="Arial" w:hAnsi="Arial"/>
          <w:color w:val="667085"/>
          <w:sz w:val="16"/>
          <w:szCs w:val="16"/>
          <w:rtl/>
        </w:rPr>
        <w:t xml:space="preserve">BOLD FINANCIAL INTELLIGENCE · مراقبة المخاطر النظامية</w:t>
      </w:r>
    </w:p>
    <w:p>
      <w:pPr>
        <w:pBdr>
          <w:bottom w:val="single" w:color="0B2545" w:sz="18" w:space="4"/>
        </w:pBdr>
        <w:bidi/>
        <w:spacing w:after="200"/>
      </w:pPr>
      <w:r>
        <w:rPr>
          <w:rFonts w:ascii="Arial" w:cs="Arial" w:hAnsi="Arial"/>
          <w:color w:val="667085"/>
          <w:sz w:val="18"/>
          <w:szCs w:val="18"/>
          <w:rtl/>
        </w:rPr>
        <w:t xml:space="preserve">تقرير الوضع · رقم الوثيقة: 8D372C18410B · تاريخ الإنشاء: 25/09/2026 12:00 UTC</w:t>
      </w:r>
    </w:p>
    <w:p>
      <w:pPr>
        <w:keepNext/>
        <w:bidi/>
        <w:spacing w:after="100" w:before="260"/>
      </w:pPr>
      <w:r>
        <w:rPr>
          <w:rFonts w:ascii="Arial" w:cs="Arial" w:hAnsi="Arial"/>
          <w:b/>
          <w:bCs/>
          <w:color w:val="0B2545"/>
          <w:sz w:val="32"/>
          <w:szCs w:val="32"/>
          <w:rtl/>
        </w:rPr>
        <w:t xml:space="preserve">الوضع العام</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D0D5DD" w:sz="4"/>
              <w:left w:val="single" w:color="D0D5DD" w:sz="4"/>
              <w:bottom w:val="single" w:color="D0D5DD" w:sz="4"/>
              <w:right w:val="single" w:color="B42318" w:sz="36"/>
            </w:tcBorders>
            <w:shd w:fill="F4F6F9" w:color="auto" w:val="clear"/>
            <w:tcMar>
              <w:top w:type="dxa" w:w="120"/>
              <w:left w:type="dxa" w:w="140"/>
              <w:bottom w:type="dxa" w:w="120"/>
              <w:right w:type="dxa" w:w="140"/>
            </w:tcMar>
          </w:tcPr>
          <w:p>
            <w:pPr>
              <w:bidi/>
            </w:pPr>
            <w:r>
              <w:rPr>
                <w:rFonts w:ascii="Arial" w:cs="Arial" w:hAnsi="Arial"/>
                <w:b/>
                <w:bCs/>
                <w:color w:val="B42318"/>
                <w:sz w:val="40"/>
                <w:szCs w:val="40"/>
                <w:rtl/>
              </w:rPr>
              <w:t xml:space="preserve">إنذار</w:t>
            </w:r>
          </w:p>
        </w:tc>
        <w:tc>
          <w:tcPr>
            <w:tcW w:type="pct" w:w="78%"/>
            <w:tcBorders>
              <w:top w:val="single" w:color="D0D5DD" w:sz="4"/>
              <w:left w:val="single" w:color="D0D5DD" w:sz="4"/>
              <w:bottom w:val="single" w:color="D0D5DD" w:sz="4"/>
              <w:right w:val="single" w:color="D0D5DD" w:sz="4"/>
            </w:tcBorders>
            <w:tcMar>
              <w:top w:type="dxa" w:w="100"/>
              <w:left w:type="dxa" w:w="140"/>
              <w:bottom w:type="dxa" w:w="100"/>
              <w:right w:type="dxa" w:w="140"/>
            </w:tcMar>
          </w:tcPr>
          <w:p>
            <w:pPr>
              <w:pStyle w:val="ListParagraph"/>
              <w:numPr>
                <w:ilvl w:val="0"/>
                <w:numId w:val="1"/>
              </w:numPr>
              <w:bidi/>
            </w:pPr>
            <w:r>
              <w:rPr>
                <w:rFonts w:ascii="Arial" w:cs="Arial" w:hAnsi="Arial"/>
                <w:sz w:val="21"/>
                <w:szCs w:val="21"/>
                <w:rtl/>
              </w:rPr>
              <w:t xml:space="preserve">تشهد 20.9% من الصناديق في الوقت نفسه تدفقات خروج أقل بوضوح من مستواها الطبيعي (مستوى الإنذار 10.4%، متوسط الفترة الطبيعية 4.4%).</w:t>
            </w:r>
          </w:p>
        </w:tc>
      </w:tr>
    </w:tbl>
    <w:p>
      <w:pPr>
        <w:bidi/>
        <w:spacing w:after="100" w:line="276"/>
      </w:pPr>
      <w:r>
        <w:rPr>
          <w:rFonts w:ascii="Arial" w:cs="Arial" w:hAnsi="Arial"/>
          <w:sz w:val="21"/>
          <w:szCs w:val="21"/>
          <w:rtl/>
        </w:rPr>
        <w:t xml:space="preserve"/>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8%"/>
            <w:tcBorders>
              <w:top w:val="single" w:color="D0D5DD" w:sz="4"/>
              <w:left w:val="single" w:color="D0D5DD" w:sz="4"/>
              <w:bottom w:val="single" w:color="D0D5DD" w:sz="4"/>
              <w:right w:val="single" w:color="D0D5DD" w:sz="4"/>
            </w:tcBorders>
            <w:shd w:fill="F4F6F9" w:color="auto" w:val="clear"/>
            <w:tcMar>
              <w:top w:type="dxa" w:w="60"/>
              <w:left w:type="dxa" w:w="100"/>
              <w:bottom w:type="dxa" w:w="60"/>
              <w:right w:type="dxa" w:w="100"/>
            </w:tcMar>
          </w:tcPr>
          <w:p>
            <w:pPr>
              <w:bidi/>
            </w:pPr>
            <w:r>
              <w:rPr>
                <w:rFonts w:ascii="Arial" w:cs="Arial" w:hAnsi="Arial"/>
                <w:b/>
                <w:bCs/>
                <w:sz w:val="19"/>
                <w:szCs w:val="19"/>
                <w:rtl/>
              </w:rPr>
              <w:t xml:space="preserve">المؤشر</w:t>
            </w:r>
          </w:p>
        </w:tc>
        <w:tc>
          <w:tcPr>
            <w:tcW w:type="pct" w:w="14%"/>
            <w:tcBorders>
              <w:top w:val="single" w:color="D0D5DD" w:sz="4"/>
              <w:left w:val="single" w:color="D0D5DD" w:sz="4"/>
              <w:bottom w:val="single" w:color="D0D5DD" w:sz="4"/>
              <w:right w:val="single" w:color="D0D5DD" w:sz="4"/>
            </w:tcBorders>
            <w:shd w:fill="F4F6F9" w:color="auto" w:val="clear"/>
            <w:tcMar>
              <w:top w:type="dxa" w:w="60"/>
              <w:left w:type="dxa" w:w="100"/>
              <w:bottom w:type="dxa" w:w="60"/>
              <w:right w:type="dxa" w:w="100"/>
            </w:tcMar>
          </w:tcPr>
          <w:p>
            <w:pPr>
              <w:bidi/>
            </w:pPr>
            <w:r>
              <w:rPr>
                <w:rFonts w:ascii="Arial" w:cs="Arial" w:hAnsi="Arial"/>
                <w:b/>
                <w:bCs/>
                <w:sz w:val="19"/>
                <w:szCs w:val="19"/>
                <w:rtl/>
              </w:rPr>
              <w:t xml:space="preserve">المستوى</w:t>
            </w:r>
          </w:p>
        </w:tc>
        <w:tc>
          <w:tcPr>
            <w:tcW w:type="pct" w:w="48%"/>
            <w:tcBorders>
              <w:top w:val="single" w:color="D0D5DD" w:sz="4"/>
              <w:left w:val="single" w:color="D0D5DD" w:sz="4"/>
              <w:bottom w:val="single" w:color="D0D5DD" w:sz="4"/>
              <w:right w:val="single" w:color="D0D5DD" w:sz="4"/>
            </w:tcBorders>
            <w:shd w:fill="F4F6F9" w:color="auto" w:val="clear"/>
            <w:tcMar>
              <w:top w:type="dxa" w:w="60"/>
              <w:left w:type="dxa" w:w="100"/>
              <w:bottom w:type="dxa" w:w="60"/>
              <w:right w:type="dxa" w:w="100"/>
            </w:tcMar>
          </w:tcPr>
          <w:p>
            <w:pPr>
              <w:bidi/>
            </w:pPr>
            <w:r>
              <w:rPr>
                <w:rFonts w:ascii="Arial" w:cs="Arial" w:hAnsi="Arial"/>
                <w:b/>
                <w:bCs/>
                <w:sz w:val="19"/>
                <w:szCs w:val="19"/>
                <w:rtl/>
              </w:rPr>
              <w:t xml:space="preserve">الوصف</w:t>
            </w:r>
          </w:p>
        </w:tc>
      </w:tr>
      <w:tr>
        <w:trPr>
          <w:cantSplit/>
        </w:trPr>
        <w:tc>
          <w:tcPr>
            <w:tcW w:type="pct" w:w="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اتساع الخروج من الصناديق (TEFAS)</w:t>
            </w:r>
          </w:p>
        </w:tc>
        <w:tc>
          <w:tcPr>
            <w:tcW w:type="pct" w:w="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bCs/>
                <w:color w:val="B42318"/>
                <w:sz w:val="19"/>
                <w:szCs w:val="19"/>
                <w:rtl/>
              </w:rPr>
              <w:t xml:space="preserve">إنذار</w:t>
            </w:r>
          </w:p>
        </w:tc>
        <w:tc>
          <w:tcPr>
            <w:tcW w:type="pct" w:w="4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أسبوع 25/09/2026: 20.9% (يتم رصد 910 صندوقاً)</w:t>
            </w:r>
          </w:p>
        </w:tc>
      </w:tr>
      <w:tr>
        <w:trPr>
          <w:cantSplit/>
        </w:trPr>
        <w:tc>
          <w:tcPr>
            <w:tcW w:type="pct" w:w="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صدمة سعر الصرف (TCMB EVDS)</w:t>
            </w:r>
          </w:p>
        </w:tc>
        <w:tc>
          <w:tcPr>
            <w:tcW w:type="pct" w:w="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w:t>
            </w:r>
          </w:p>
        </w:tc>
        <w:tc>
          <w:tcPr>
            <w:tcW w:type="pct" w:w="4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لا توجد بيانات</w:t>
            </w:r>
          </w:p>
        </w:tc>
      </w:tr>
    </w:tbl>
    <w:p>
      <w:pPr>
        <w:bidi/>
        <w:spacing w:after="100" w:line="276"/>
      </w:pPr>
      <w:r>
        <w:rPr>
          <w:rFonts w:ascii="Arial" w:cs="Arial" w:hAnsi="Arial"/>
          <w:sz w:val="21"/>
          <w:szCs w:val="21"/>
          <w:rtl/>
        </w:rPr>
        <w:t xml:space="preserve"/>
      </w:r>
    </w:p>
    <w:p>
      <w:pPr>
        <w:keepNext/>
        <w:pBdr>
          <w:bottom w:val="single" w:color="D0D5DD" w:sz="4" w:space="2"/>
        </w:pBdr>
        <w:bidi/>
        <w:spacing w:after="100" w:before="260"/>
      </w:pPr>
      <w:r>
        <w:rPr>
          <w:rFonts w:ascii="Arial" w:cs="Arial" w:hAnsi="Arial"/>
          <w:b/>
          <w:bCs/>
          <w:color w:val="0B2545"/>
          <w:sz w:val="23"/>
          <w:szCs w:val="23"/>
          <w:rtl/>
        </w:rPr>
        <w:t xml:space="preserve">1. اتساع الخروج من الصناديق</w:t>
      </w:r>
    </w:p>
    <w:p>
      <w:pPr>
        <w:bidi/>
        <w:spacing w:after="100" w:line="276"/>
      </w:pPr>
      <w:r>
        <w:rPr>
          <w:rFonts w:ascii="Arial" w:cs="Arial" w:hAnsi="Arial"/>
          <w:sz w:val="21"/>
          <w:szCs w:val="21"/>
          <w:rtl/>
        </w:rPr>
        <w:t xml:space="preserve">يبيّن نسبة الصناديق التي تشهد في الأسبوع نفسه تدفقات خروج أقل بوضوح من مستواها الطبيعي. لا يؤثر ضجيج صندوق واحد في هذا المقياس؛ أما الحركة المشتركة في السوق كله فترفع الاتساع.</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0D5DD" w:sz="4"/>
              <w:left w:val="single" w:color="D0D5DD" w:sz="4"/>
              <w:bottom w:val="single" w:color="D0D5DD" w:sz="4"/>
              <w:right w:val="single" w:color="D0D5DD" w:sz="4"/>
            </w:tcBorders>
            <w:tcMar>
              <w:top w:type="dxa" w:w="80"/>
              <w:left w:type="dxa" w:w="120"/>
              <w:bottom w:type="dxa" w:w="80"/>
              <w:right w:type="dxa" w:w="120"/>
            </w:tcMar>
          </w:tcPr>
          <w:p>
            <w:pPr>
              <w:bidi/>
            </w:pPr>
            <w:r>
              <w:rPr>
                <w:rFonts w:ascii="Arial" w:cs="Arial" w:hAnsi="Arial"/>
                <w:b/>
                <w:bCs/>
                <w:color w:val="0B2545"/>
                <w:sz w:val="34"/>
                <w:szCs w:val="34"/>
                <w:rtl/>
              </w:rPr>
              <w:t xml:space="preserve">20.9%</w:t>
            </w:r>
          </w:p>
          <w:p>
            <w:pPr>
              <w:bidi/>
            </w:pPr>
            <w:r>
              <w:rPr>
                <w:rFonts w:ascii="Arial" w:cs="Arial" w:hAnsi="Arial"/>
                <w:color w:val="667085"/>
                <w:sz w:val="16"/>
                <w:szCs w:val="16"/>
                <w:rtl/>
              </w:rPr>
              <w:t xml:space="preserve">آخر أسبوع (25/09/2026)</w:t>
            </w:r>
          </w:p>
        </w:tc>
        <w:tc>
          <w:tcPr>
            <w:tcBorders>
              <w:top w:val="single" w:color="D0D5DD" w:sz="4"/>
              <w:left w:val="single" w:color="D0D5DD" w:sz="4"/>
              <w:bottom w:val="single" w:color="D0D5DD" w:sz="4"/>
              <w:right w:val="single" w:color="D0D5DD" w:sz="4"/>
            </w:tcBorders>
            <w:tcMar>
              <w:top w:type="dxa" w:w="80"/>
              <w:left w:type="dxa" w:w="120"/>
              <w:bottom w:type="dxa" w:w="80"/>
              <w:right w:type="dxa" w:w="120"/>
            </w:tcMar>
          </w:tcPr>
          <w:p>
            <w:pPr>
              <w:bidi/>
            </w:pPr>
            <w:r>
              <w:rPr>
                <w:rFonts w:ascii="Arial" w:cs="Arial" w:hAnsi="Arial"/>
                <w:b/>
                <w:bCs/>
                <w:color w:val="0B2545"/>
                <w:sz w:val="34"/>
                <w:szCs w:val="34"/>
                <w:rtl/>
              </w:rPr>
              <w:t xml:space="preserve">4.4%</w:t>
            </w:r>
          </w:p>
          <w:p>
            <w:pPr>
              <w:bidi/>
            </w:pPr>
            <w:r>
              <w:rPr>
                <w:rFonts w:ascii="Arial" w:cs="Arial" w:hAnsi="Arial"/>
                <w:color w:val="667085"/>
                <w:sz w:val="16"/>
                <w:szCs w:val="16"/>
                <w:rtl/>
              </w:rPr>
              <w:t xml:space="preserve">متوسط الفترة الطبيعية</w:t>
            </w:r>
          </w:p>
        </w:tc>
        <w:tc>
          <w:tcPr>
            <w:tcBorders>
              <w:top w:val="single" w:color="D0D5DD" w:sz="4"/>
              <w:left w:val="single" w:color="D0D5DD" w:sz="4"/>
              <w:bottom w:val="single" w:color="D0D5DD" w:sz="4"/>
              <w:right w:val="single" w:color="D0D5DD" w:sz="4"/>
            </w:tcBorders>
            <w:tcMar>
              <w:top w:type="dxa" w:w="80"/>
              <w:left w:type="dxa" w:w="120"/>
              <w:bottom w:type="dxa" w:w="80"/>
              <w:right w:type="dxa" w:w="120"/>
            </w:tcMar>
          </w:tcPr>
          <w:p>
            <w:pPr>
              <w:bidi/>
            </w:pPr>
            <w:r>
              <w:rPr>
                <w:rFonts w:ascii="Arial" w:cs="Arial" w:hAnsi="Arial"/>
                <w:b/>
                <w:bCs/>
                <w:color w:val="0B2545"/>
                <w:sz w:val="34"/>
                <w:szCs w:val="34"/>
                <w:rtl/>
              </w:rPr>
              <w:t xml:space="preserve">10.4%</w:t>
            </w:r>
          </w:p>
          <w:p>
            <w:pPr>
              <w:bidi/>
            </w:pPr>
            <w:r>
              <w:rPr>
                <w:rFonts w:ascii="Arial" w:cs="Arial" w:hAnsi="Arial"/>
                <w:color w:val="667085"/>
                <w:sz w:val="16"/>
                <w:szCs w:val="16"/>
                <w:rtl/>
              </w:rPr>
              <w:t xml:space="preserve">مستوى الإنذار</w:t>
            </w:r>
          </w:p>
        </w:tc>
      </w:tr>
    </w:tbl>
    <w:p>
      <w:pPr>
        <w:bidi/>
        <w:spacing w:after="100" w:line="276"/>
      </w:pPr>
      <w:r>
        <w:rPr>
          <w:rFonts w:ascii="Arial" w:cs="Arial" w:hAnsi="Arial"/>
          <w:sz w:val="21"/>
          <w:szCs w:val="21"/>
          <w:rtl/>
        </w:rPr>
        <w:t xml:space="preserve"/>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tcBorders>
              <w:top w:val="single" w:color="D0D5DD" w:sz="4"/>
              <w:left w:val="single" w:color="D0D5DD" w:sz="4"/>
              <w:bottom w:val="single" w:color="D0D5DD" w:sz="4"/>
              <w:right w:val="single" w:color="D0D5DD" w:sz="4"/>
            </w:tcBorders>
            <w:shd w:fill="F4F6F9" w:color="auto" w:val="clear"/>
            <w:tcMar>
              <w:top w:type="dxa" w:w="60"/>
              <w:left w:type="dxa" w:w="100"/>
              <w:bottom w:type="dxa" w:w="60"/>
              <w:right w:type="dxa" w:w="100"/>
            </w:tcMar>
          </w:tcPr>
          <w:p>
            <w:pPr>
              <w:bidi/>
            </w:pPr>
            <w:r>
              <w:rPr>
                <w:rFonts w:ascii="Arial" w:cs="Arial" w:hAnsi="Arial"/>
                <w:b/>
                <w:bCs/>
                <w:sz w:val="19"/>
                <w:szCs w:val="19"/>
                <w:rtl/>
              </w:rPr>
              <w:t xml:space="preserve">آخر أسبوع</w:t>
            </w:r>
          </w:p>
        </w:tc>
        <w:tc>
          <w:tcPr>
            <w:tcW w:type="pct" w:w="30%"/>
            <w:tcBorders>
              <w:top w:val="single" w:color="D0D5DD" w:sz="4"/>
              <w:left w:val="single" w:color="D0D5DD" w:sz="4"/>
              <w:bottom w:val="single" w:color="D0D5DD" w:sz="4"/>
              <w:right w:val="single" w:color="D0D5DD" w:sz="4"/>
            </w:tcBorders>
            <w:shd w:fill="F4F6F9" w:color="auto" w:val="clear"/>
            <w:tcMar>
              <w:top w:type="dxa" w:w="60"/>
              <w:left w:type="dxa" w:w="100"/>
              <w:bottom w:type="dxa" w:w="60"/>
              <w:right w:type="dxa" w:w="100"/>
            </w:tcMar>
          </w:tcPr>
          <w:p>
            <w:pPr>
              <w:bidi/>
            </w:pPr>
            <w:r>
              <w:rPr>
                <w:rFonts w:ascii="Arial" w:cs="Arial" w:hAnsi="Arial"/>
                <w:b/>
                <w:bCs/>
                <w:sz w:val="19"/>
                <w:szCs w:val="19"/>
                <w:rtl/>
              </w:rPr>
              <w:t xml:space="preserve">%</w:t>
            </w:r>
          </w:p>
        </w:tc>
        <w:tc>
          <w:tcPr>
            <w:tcW w:type="pct" w:w="30%"/>
            <w:tcBorders>
              <w:top w:val="single" w:color="D0D5DD" w:sz="4"/>
              <w:left w:val="single" w:color="D0D5DD" w:sz="4"/>
              <w:bottom w:val="single" w:color="D0D5DD" w:sz="4"/>
              <w:right w:val="single" w:color="D0D5DD" w:sz="4"/>
            </w:tcBorders>
            <w:shd w:fill="F4F6F9" w:color="auto" w:val="clear"/>
            <w:tcMar>
              <w:top w:type="dxa" w:w="60"/>
              <w:left w:type="dxa" w:w="100"/>
              <w:bottom w:type="dxa" w:w="60"/>
              <w:right w:type="dxa" w:w="100"/>
            </w:tcMar>
          </w:tcPr>
          <w:p>
            <w:pPr>
              <w:bidi/>
            </w:pPr>
            <w:r>
              <w:rPr>
                <w:rFonts w:ascii="Arial" w:cs="Arial" w:hAnsi="Arial"/>
                <w:b/>
                <w:bCs/>
                <w:sz w:val="19"/>
                <w:szCs w:val="19"/>
                <w:rtl/>
              </w:rPr>
              <w:t xml:space="preserve">●</w:t>
            </w:r>
          </w:p>
        </w:tc>
      </w:tr>
      <w:tr>
        <w:tc>
          <w:tcPr>
            <w:tcW w:type="pct" w:w="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10/07/2026</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5%</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w:t>
            </w:r>
          </w:p>
        </w:tc>
      </w:tr>
      <w:tr>
        <w:tc>
          <w:tcPr>
            <w:tcW w:type="pct" w:w="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17/07/2026</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3%</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w:t>
            </w:r>
          </w:p>
        </w:tc>
      </w:tr>
      <w:tr>
        <w:tc>
          <w:tcPr>
            <w:tcW w:type="pct" w:w="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24/07/2026</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5%</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w:t>
            </w:r>
          </w:p>
        </w:tc>
      </w:tr>
      <w:tr>
        <w:tc>
          <w:tcPr>
            <w:tcW w:type="pct" w:w="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31/07/2026</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5%</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w:t>
            </w:r>
          </w:p>
        </w:tc>
      </w:tr>
      <w:tr>
        <w:tc>
          <w:tcPr>
            <w:tcW w:type="pct" w:w="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07/08/2026</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5%</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w:t>
            </w:r>
          </w:p>
        </w:tc>
      </w:tr>
      <w:tr>
        <w:tc>
          <w:tcPr>
            <w:tcW w:type="pct" w:w="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14/08/2026</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5%</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w:t>
            </w:r>
          </w:p>
        </w:tc>
      </w:tr>
      <w:tr>
        <w:tc>
          <w:tcPr>
            <w:tcW w:type="pct" w:w="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21/08/2026</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5%</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w:t>
            </w:r>
          </w:p>
        </w:tc>
      </w:tr>
      <w:tr>
        <w:tc>
          <w:tcPr>
            <w:tcW w:type="pct" w:w="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28/08/2026</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4%</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w:t>
            </w:r>
          </w:p>
        </w:tc>
      </w:tr>
      <w:tr>
        <w:tc>
          <w:tcPr>
            <w:tcW w:type="pct" w:w="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04/09/2026</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6%</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w:t>
            </w:r>
          </w:p>
        </w:tc>
      </w:tr>
      <w:tr>
        <w:tc>
          <w:tcPr>
            <w:tcW w:type="pct" w:w="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11/09/2026</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7%</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w:t>
            </w:r>
          </w:p>
        </w:tc>
      </w:tr>
      <w:tr>
        <w:tc>
          <w:tcPr>
            <w:tcW w:type="pct" w:w="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18/09/2026</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11%</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bCs/>
                <w:color w:val="B42318"/>
                <w:sz w:val="19"/>
                <w:szCs w:val="19"/>
                <w:rtl/>
              </w:rPr>
              <w:t xml:space="preserve">●</w:t>
            </w:r>
          </w:p>
        </w:tc>
      </w:tr>
      <w:tr>
        <w:tc>
          <w:tcPr>
            <w:tcW w:type="pct" w:w="4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25/09/2026</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21%</w:t>
            </w:r>
          </w:p>
        </w:tc>
        <w:tc>
          <w:tcPr>
            <w:tcW w:type="pct" w:w="3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bCs/>
                <w:color w:val="B42318"/>
                <w:sz w:val="19"/>
                <w:szCs w:val="19"/>
                <w:rtl/>
              </w:rPr>
              <w:t xml:space="preserve">●</w:t>
            </w:r>
          </w:p>
        </w:tc>
      </w:tr>
    </w:tbl>
    <w:p>
      <w:pPr>
        <w:bidi/>
        <w:spacing w:after="100" w:line="276"/>
      </w:pPr>
      <w:r>
        <w:rPr>
          <w:rFonts w:ascii="Arial" w:cs="Arial" w:hAnsi="Arial"/>
          <w:sz w:val="21"/>
          <w:szCs w:val="21"/>
          <w:rtl/>
        </w:rPr>
        <w:t xml:space="preserve"/>
      </w:r>
    </w:p>
    <w:p>
      <w:pPr>
        <w:bidi/>
        <w:spacing w:after="100" w:line="276"/>
      </w:pPr>
      <w:r>
        <w:rPr>
          <w:rFonts w:ascii="Arial" w:cs="Arial" w:hAnsi="Arial"/>
          <w:i/>
          <w:iCs/>
          <w:color w:val="667085"/>
          <w:sz w:val="17"/>
          <w:szCs w:val="17"/>
          <w:rtl/>
        </w:rPr>
        <w:t xml:space="preserve">الأعمدة الحمراء هي الأسابيع التي أطلقت إنذاراً. مستوى المراقبة هو 7.4% فأكثر.</w:t>
      </w:r>
    </w:p>
    <w:p>
      <w:pPr>
        <w:keepNext/>
        <w:pBdr>
          <w:bottom w:val="single" w:color="D0D5DD" w:sz="4" w:space="2"/>
        </w:pBdr>
        <w:bidi/>
        <w:spacing w:after="100" w:before="260"/>
      </w:pPr>
      <w:r>
        <w:rPr>
          <w:rFonts w:ascii="Arial" w:cs="Arial" w:hAnsi="Arial"/>
          <w:b/>
          <w:bCs/>
          <w:color w:val="0B2545"/>
          <w:sz w:val="23"/>
          <w:szCs w:val="23"/>
          <w:rtl/>
        </w:rPr>
        <w:t xml:space="preserve">3. تغطية البيانات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D0D5DD" w:sz="4"/>
              <w:left w:val="single" w:color="D0D5DD" w:sz="4"/>
              <w:bottom w:val="single" w:color="D0D5DD" w:sz="4"/>
              <w:right w:val="single" w:color="D0D5DD" w:sz="4"/>
            </w:tcBorders>
            <w:shd w:fill="F4F6F9" w:color="auto" w:val="clear"/>
            <w:tcMar>
              <w:top w:type="dxa" w:w="60"/>
              <w:left w:type="dxa" w:w="100"/>
              <w:bottom w:type="dxa" w:w="60"/>
              <w:right w:type="dxa" w:w="100"/>
            </w:tcMar>
          </w:tcPr>
          <w:p>
            <w:pPr>
              <w:bidi/>
            </w:pPr>
            <w:r>
              <w:rPr>
                <w:rFonts w:ascii="Arial" w:cs="Arial" w:hAnsi="Arial"/>
                <w:b/>
                <w:bCs/>
                <w:sz w:val="19"/>
                <w:szCs w:val="19"/>
                <w:rtl/>
              </w:rPr>
              <w:t xml:space="preserve">المصدر</w:t>
            </w:r>
          </w:p>
        </w:tc>
        <w:tc>
          <w:tcPr>
            <w:tcW w:type="pct" w:w="20%"/>
            <w:tcBorders>
              <w:top w:val="single" w:color="D0D5DD" w:sz="4"/>
              <w:left w:val="single" w:color="D0D5DD" w:sz="4"/>
              <w:bottom w:val="single" w:color="D0D5DD" w:sz="4"/>
              <w:right w:val="single" w:color="D0D5DD" w:sz="4"/>
            </w:tcBorders>
            <w:shd w:fill="F4F6F9" w:color="auto" w:val="clear"/>
            <w:tcMar>
              <w:top w:type="dxa" w:w="60"/>
              <w:left w:type="dxa" w:w="100"/>
              <w:bottom w:type="dxa" w:w="60"/>
              <w:right w:type="dxa" w:w="100"/>
            </w:tcMar>
          </w:tcPr>
          <w:p>
            <w:pPr>
              <w:bidi/>
            </w:pPr>
            <w:r>
              <w:rPr>
                <w:rFonts w:ascii="Arial" w:cs="Arial" w:hAnsi="Arial"/>
                <w:b/>
                <w:bCs/>
                <w:sz w:val="19"/>
                <w:szCs w:val="19"/>
                <w:rtl/>
              </w:rPr>
              <w:t xml:space="preserve">الحقل</w:t>
            </w:r>
          </w:p>
        </w:tc>
        <w:tc>
          <w:tcPr>
            <w:tcW w:type="pct" w:w="20%"/>
            <w:tcBorders>
              <w:top w:val="single" w:color="D0D5DD" w:sz="4"/>
              <w:left w:val="single" w:color="D0D5DD" w:sz="4"/>
              <w:bottom w:val="single" w:color="D0D5DD" w:sz="4"/>
              <w:right w:val="single" w:color="D0D5DD" w:sz="4"/>
            </w:tcBorders>
            <w:shd w:fill="F4F6F9" w:color="auto" w:val="clear"/>
            <w:tcMar>
              <w:top w:type="dxa" w:w="60"/>
              <w:left w:type="dxa" w:w="100"/>
              <w:bottom w:type="dxa" w:w="60"/>
              <w:right w:type="dxa" w:w="100"/>
            </w:tcMar>
          </w:tcPr>
          <w:p>
            <w:pPr>
              <w:bidi/>
            </w:pPr>
            <w:r>
              <w:rPr>
                <w:rFonts w:ascii="Arial" w:cs="Arial" w:hAnsi="Arial"/>
                <w:b/>
                <w:bCs/>
                <w:sz w:val="19"/>
                <w:szCs w:val="19"/>
                <w:rtl/>
              </w:rPr>
              <w:t xml:space="preserve">الملاحظات</w:t>
            </w:r>
          </w:p>
        </w:tc>
        <w:tc>
          <w:tcPr>
            <w:tcW w:type="pct" w:w="20%"/>
            <w:tcBorders>
              <w:top w:val="single" w:color="D0D5DD" w:sz="4"/>
              <w:left w:val="single" w:color="D0D5DD" w:sz="4"/>
              <w:bottom w:val="single" w:color="D0D5DD" w:sz="4"/>
              <w:right w:val="single" w:color="D0D5DD" w:sz="4"/>
            </w:tcBorders>
            <w:shd w:fill="F4F6F9" w:color="auto" w:val="clear"/>
            <w:tcMar>
              <w:top w:type="dxa" w:w="60"/>
              <w:left w:type="dxa" w:w="100"/>
              <w:bottom w:type="dxa" w:w="60"/>
              <w:right w:type="dxa" w:w="100"/>
            </w:tcMar>
          </w:tcPr>
          <w:p>
            <w:pPr>
              <w:bidi/>
            </w:pPr>
            <w:r>
              <w:rPr>
                <w:rFonts w:ascii="Arial" w:cs="Arial" w:hAnsi="Arial"/>
                <w:b/>
                <w:bCs/>
                <w:sz w:val="19"/>
                <w:szCs w:val="19"/>
                <w:rtl/>
              </w:rPr>
              <w:t xml:space="preserve">الأولى</w:t>
            </w:r>
          </w:p>
        </w:tc>
        <w:tc>
          <w:tcPr>
            <w:tcW w:type="pct" w:w="20%"/>
            <w:tcBorders>
              <w:top w:val="single" w:color="D0D5DD" w:sz="4"/>
              <w:left w:val="single" w:color="D0D5DD" w:sz="4"/>
              <w:bottom w:val="single" w:color="D0D5DD" w:sz="4"/>
              <w:right w:val="single" w:color="D0D5DD" w:sz="4"/>
            </w:tcBorders>
            <w:shd w:fill="F4F6F9" w:color="auto" w:val="clear"/>
            <w:tcMar>
              <w:top w:type="dxa" w:w="60"/>
              <w:left w:type="dxa" w:w="100"/>
              <w:bottom w:type="dxa" w:w="60"/>
              <w:right w:type="dxa" w:w="100"/>
            </w:tcMar>
          </w:tcPr>
          <w:p>
            <w:pPr>
              <w:bidi/>
            </w:pPr>
            <w:r>
              <w:rPr>
                <w:rFonts w:ascii="Arial" w:cs="Arial" w:hAnsi="Arial"/>
                <w:b/>
                <w:bCs/>
                <w:sz w:val="19"/>
                <w:szCs w:val="19"/>
                <w:rtl/>
              </w:rPr>
              <w:t xml:space="preserve">الأخيرة</w:t>
            </w:r>
          </w:p>
        </w:tc>
      </w:tr>
      <w:tr>
        <w:trPr>
          <w:cantSplit/>
        </w:trPr>
        <w:tc>
          <w:tcPr>
            <w:tcW w:type="pct" w:w="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لا توجد سجلات</w:t>
            </w:r>
          </w:p>
        </w:tc>
        <w:tc>
          <w:tcPr>
            <w:tcW w:type="pct" w:w="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
            </w:r>
          </w:p>
        </w:tc>
        <w:tc>
          <w:tcPr>
            <w:tcW w:type="pct" w:w="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
            </w:r>
          </w:p>
        </w:tc>
        <w:tc>
          <w:tcPr>
            <w:tcW w:type="pct" w:w="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
            </w:r>
          </w:p>
        </w:tc>
        <w:tc>
          <w:tcPr>
            <w:tcW w:type="pct" w:w="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
            </w:r>
          </w:p>
        </w:tc>
      </w:tr>
    </w:tbl>
    <w:p>
      <w:pPr>
        <w:bidi/>
        <w:spacing w:after="100" w:line="276"/>
      </w:pPr>
      <w:r>
        <w:rPr>
          <w:rFonts w:ascii="Arial" w:cs="Arial" w:hAnsi="Arial"/>
          <w:sz w:val="21"/>
          <w:szCs w:val="21"/>
          <w:rtl/>
        </w:rPr>
        <w:t xml:space="preserve"/>
      </w:r>
    </w:p>
    <w:p>
      <w:pPr>
        <w:keepNext/>
        <w:pBdr>
          <w:bottom w:val="single" w:color="D0D5DD" w:sz="4" w:space="2"/>
        </w:pBdr>
        <w:bidi/>
        <w:spacing w:after="100" w:before="260"/>
      </w:pPr>
      <w:r>
        <w:rPr>
          <w:rFonts w:ascii="Arial" w:cs="Arial" w:hAnsi="Arial"/>
          <w:b/>
          <w:bCs/>
          <w:color w:val="0B2545"/>
          <w:sz w:val="23"/>
          <w:szCs w:val="23"/>
          <w:rtl/>
        </w:rPr>
        <w:t xml:space="preserve">4. نقاط المراجعة</w:t>
      </w:r>
    </w:p>
    <w:p>
      <w:pPr>
        <w:pStyle w:val="ListParagraph"/>
        <w:numPr>
          <w:ilvl w:val="0"/>
          <w:numId w:val="1"/>
        </w:numPr>
        <w:bidi/>
        <w:spacing w:after="60"/>
      </w:pPr>
      <w:r>
        <w:rPr>
          <w:rFonts w:ascii="Arial" w:cs="Arial" w:hAnsi="Arial"/>
          <w:sz w:val="21"/>
          <w:szCs w:val="21"/>
          <w:rtl/>
        </w:rPr>
        <w:t xml:space="preserve">راجع قائمة الصناديق الأعلى خروجاً وحركة صناديق أسواق النقد.</w:t>
      </w:r>
    </w:p>
    <w:p>
      <w:pPr>
        <w:pStyle w:val="ListParagraph"/>
        <w:numPr>
          <w:ilvl w:val="0"/>
          <w:numId w:val="1"/>
        </w:numPr>
        <w:bidi/>
        <w:spacing w:after="60"/>
      </w:pPr>
      <w:r>
        <w:rPr>
          <w:rFonts w:ascii="Arial" w:cs="Arial" w:hAnsi="Arial"/>
          <w:sz w:val="21"/>
          <w:szCs w:val="21"/>
          <w:rtl/>
        </w:rPr>
        <w:t xml:space="preserve">قارن في اليوم نفسه تطورات سعر الصرف وأسعار الفائدة (إعلانات TCMB وKAP).</w:t>
      </w:r>
    </w:p>
    <w:p>
      <w:pPr>
        <w:pStyle w:val="ListParagraph"/>
        <w:numPr>
          <w:ilvl w:val="0"/>
          <w:numId w:val="1"/>
        </w:numPr>
        <w:bidi/>
        <w:spacing w:after="60"/>
      </w:pPr>
      <w:r>
        <w:rPr>
          <w:rFonts w:ascii="Arial" w:cs="Arial" w:hAnsi="Arial"/>
          <w:sz w:val="21"/>
          <w:szCs w:val="21"/>
          <w:rtl/>
        </w:rPr>
        <w:t xml:space="preserve">إذا استمر الإنذار فتأكد منه ببيانات الأسبوع التالي؛ فإنذار أسبوع واحد ليس نتيجة قاطعة.</w:t>
      </w:r>
    </w:p>
    <w:p>
      <w:pPr>
        <w:bidi/>
        <w:spacing w:after="100" w:line="276"/>
      </w:pPr>
      <w:r>
        <w:rPr>
          <w:rFonts w:ascii="Arial" w:cs="Arial" w:hAnsi="Arial"/>
          <w:i/>
          <w:iCs/>
          <w:color w:val="667085"/>
          <w:sz w:val="17"/>
          <w:szCs w:val="17"/>
          <w:rtl/>
        </w:rPr>
        <w:t xml:space="preserve">هذه القائمة ليست نصيحة استثمارية؛ إنما تشير إلى نقاط تستحق الفحص.</w:t>
      </w:r>
    </w:p>
    <w:p>
      <w:pPr>
        <w:keepNext/>
        <w:pBdr>
          <w:bottom w:val="single" w:color="D0D5DD" w:sz="4" w:space="2"/>
        </w:pBdr>
        <w:bidi/>
        <w:spacing w:after="100" w:before="260"/>
      </w:pPr>
      <w:r>
        <w:rPr>
          <w:rFonts w:ascii="Arial" w:cs="Arial" w:hAnsi="Arial"/>
          <w:b/>
          <w:bCs/>
          <w:color w:val="0B2545"/>
          <w:sz w:val="23"/>
          <w:szCs w:val="23"/>
          <w:rtl/>
        </w:rPr>
        <w:t xml:space="preserve">5. الموثوقية والحدود</w:t>
      </w:r>
    </w:p>
    <w:p>
      <w:pPr>
        <w:pBdr>
          <w:top w:val="single" w:color="F0D58A" w:sz="4" w:space="4"/>
          <w:bottom w:val="single" w:color="F0D58A" w:sz="4" w:space="4"/>
          <w:left w:val="single" w:color="F0D58A" w:sz="4" w:space="6"/>
          <w:right w:val="single" w:color="F0D58A" w:sz="4" w:space="6"/>
        </w:pBdr>
        <w:shd w:fill="FFF8E6" w:color="auto" w:val="clear"/>
        <w:bidi/>
        <w:spacing w:after="120" w:before="60"/>
      </w:pPr>
      <w:r>
        <w:rPr>
          <w:rFonts w:ascii="Arial" w:cs="Arial" w:hAnsi="Arial"/>
          <w:sz w:val="20"/>
          <w:szCs w:val="20"/>
          <w:rtl/>
        </w:rPr>
        <w:t xml:space="preserve">مهم: لم تُعَايَر نماذج هذا النظام بعد (M20: DEVELOPMENT, M21: DEVELOPMENT). لم يُختبر إنذار الخروج من الصناديق حتى الآن إلا على حدث واقعي واحد (سبتمبر 2026)، وجاء الإنذار في الأسبوع نفسه الذي وقع فيه الحدث؛ ولم يثبت وجود مهلة إنذار مبكر. ينجح رصد صدمات سعر الصرف في 4 من 5 أحداث لكنه لا يتنبأ بالصدمات مسبقاً. لم يجرِ أي تحقق مستقل. لا تعتمد على هذا التقرير وحده في اتخاذ القرارات.</w:t>
      </w:r>
    </w:p>
    <w:p>
      <w:pPr>
        <w:keepNext/>
        <w:pBdr>
          <w:bottom w:val="single" w:color="D0D5DD" w:sz="4" w:space="2"/>
        </w:pBdr>
        <w:bidi/>
        <w:spacing w:after="100" w:before="260"/>
      </w:pPr>
      <w:r>
        <w:rPr>
          <w:rFonts w:ascii="Arial" w:cs="Arial" w:hAnsi="Arial"/>
          <w:b/>
          <w:bCs/>
          <w:color w:val="0B2545"/>
          <w:sz w:val="23"/>
          <w:szCs w:val="23"/>
          <w:rtl/>
        </w:rPr>
        <w:t xml:space="preserve">6. المنهجية</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D0D5DD" w:sz="4"/>
              <w:left w:val="single" w:color="D0D5DD" w:sz="4"/>
              <w:bottom w:val="single" w:color="D0D5DD" w:sz="4"/>
              <w:right w:val="single" w:color="D0D5DD" w:sz="4"/>
            </w:tcBorders>
            <w:shd w:fill="F4F6F9" w:color="auto" w:val="clear"/>
            <w:tcMar>
              <w:top w:type="dxa" w:w="60"/>
              <w:left w:type="dxa" w:w="100"/>
              <w:bottom w:type="dxa" w:w="60"/>
              <w:right w:type="dxa" w:w="100"/>
            </w:tcMar>
          </w:tcPr>
          <w:p>
            <w:pPr>
              <w:bidi/>
            </w:pPr>
            <w:r>
              <w:rPr>
                <w:rFonts w:ascii="Arial" w:cs="Arial" w:hAnsi="Arial"/>
                <w:b/>
                <w:bCs/>
                <w:sz w:val="19"/>
                <w:szCs w:val="19"/>
                <w:rtl/>
              </w:rPr>
              <w:t xml:space="preserve">الموضوع</w:t>
            </w:r>
          </w:p>
        </w:tc>
        <w:tc>
          <w:tcPr>
            <w:tcW w:type="pct" w:w="75%"/>
            <w:tcBorders>
              <w:top w:val="single" w:color="D0D5DD" w:sz="4"/>
              <w:left w:val="single" w:color="D0D5DD" w:sz="4"/>
              <w:bottom w:val="single" w:color="D0D5DD" w:sz="4"/>
              <w:right w:val="single" w:color="D0D5DD" w:sz="4"/>
            </w:tcBorders>
            <w:shd w:fill="F4F6F9" w:color="auto" w:val="clear"/>
            <w:tcMar>
              <w:top w:type="dxa" w:w="60"/>
              <w:left w:type="dxa" w:w="100"/>
              <w:bottom w:type="dxa" w:w="60"/>
              <w:right w:type="dxa" w:w="100"/>
            </w:tcMar>
          </w:tcPr>
          <w:p>
            <w:pPr>
              <w:bidi/>
            </w:pPr>
            <w:r>
              <w:rPr>
                <w:rFonts w:ascii="Arial" w:cs="Arial" w:hAnsi="Arial"/>
                <w:b/>
                <w:bCs/>
                <w:sz w:val="19"/>
                <w:szCs w:val="19"/>
                <w:rtl/>
              </w:rPr>
              <w:t xml:space="preserve">الوصف</w:t>
            </w:r>
          </w:p>
        </w:tc>
      </w:tr>
      <w:tr>
        <w:trPr>
          <w:cantSplit/>
        </w:trPr>
        <w:tc>
          <w:tcPr>
            <w:tcW w:type="pct" w:w="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اتساع الصناديق</w:t>
            </w:r>
          </w:p>
        </w:tc>
        <w:tc>
          <w:tcPr>
            <w:tcW w:type="pct" w:w="75%"/>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لكل صندوق تُحسب درجة z للتدفق الصافي الأسبوعي مقارنةً بوسيطه الخاص/MAD؛ ثم نسبة الصناديق التي تكون فيها z ≤ −3. يُتعلَّم مستوى الإنذار من فترة المرجع (الأكبر بين المتوسط + 4σ أو ضعف المتوسط أو +5 نقاط). مستوى المراقبة هو المتوسط + 2σ (عتبة مقبولة وليست معايَرة).</w:t>
            </w:r>
          </w:p>
        </w:tc>
      </w:tr>
      <w:tr>
        <w:trPr>
          <w:cantSplit/>
        </w:trPr>
        <w:tc>
          <w:tcPr>
            <w:tcW w:type="pct" w:w="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صدمة سعر الصرف</w:t>
            </w:r>
          </w:p>
        </w:tc>
        <w:tc>
          <w:tcPr>
            <w:tcW w:type="pct" w:w="75%"/>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أن يكون العائد اللوغاريتمي اليومي ≥ 5 انحرافات معيارية متينة قياساً بوسيط/MAD الأيام الـ250 السابقة وأن يبلغ ≥ 2%. تُستخدم البيانات السابقة فقط.</w:t>
            </w:r>
          </w:p>
        </w:tc>
      </w:tr>
      <w:tr>
        <w:trPr>
          <w:cantSplit/>
        </w:trPr>
        <w:tc>
          <w:tcPr>
            <w:tcW w:type="pct" w:w="25%"/>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البيانات</w:t>
            </w:r>
          </w:p>
        </w:tc>
        <w:tc>
          <w:tcPr>
            <w:tcW w:type="pct" w:w="75%"/>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pPr>
            <w:r>
              <w:rPr>
                <w:rFonts w:ascii="Arial" w:cs="Arial" w:hAnsi="Arial"/>
                <w:b w:val="false"/>
                <w:bCs w:val="false"/>
                <w:sz w:val="19"/>
                <w:szCs w:val="19"/>
                <w:rtl/>
              </w:rPr>
              <w:t xml:space="preserve">بيانات صناديق TEFAS وأسعار الصرف من TCMB EVDS. تحمل الملاحظات ختم وقت النشر؛ ولا تغيّر التصحيحات اللاحقة نتيجةً سابقة.</w:t>
            </w:r>
          </w:p>
        </w:tc>
      </w:tr>
    </w:tbl>
    <w:p>
      <w:pPr>
        <w:bidi/>
        <w:spacing w:after="100" w:line="276"/>
      </w:pPr>
      <w:r>
        <w:rPr>
          <w:rFonts w:ascii="Arial" w:cs="Arial" w:hAnsi="Arial"/>
          <w:sz w:val="21"/>
          <w:szCs w:val="21"/>
          <w:rtl/>
        </w:rPr>
        <w:t xml:space="preserve"/>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hAnsi="Arial"/>
        <w:color w:val="667085"/>
        <w:sz w:val="14"/>
        <w:szCs w:val="14"/>
        <w:rtl/>
      </w:rPr>
      <w:t xml:space="preserve">تقرير الوضع BFI · رقم الوثيقة 8D372C18410B · أُنشئ تلقائياً ويعكس البيانات حتى 2026-09-25. الإصدار örnek. ليس نصيحة استثمارية.  —  </w:t>
    </w:r>
    <w:r>
      <w:rPr>
        <w:rFonts w:ascii="Arial" w:cs="Arial" w:eastAsia="Arial" w:hAnsi="Arial"/>
        <w:color w:val="66708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الوضع 8D372C18410B</dc:title>
  <dc:creator>BFI</dc:creator>
  <dc:description>BOLD FINANCIAL INTELLIGENCE · مراقبة المخاطر النظامية</dc:description>
  <cp:lastModifiedBy>Un-named</cp:lastModifiedBy>
  <cp:revision>1</cp:revision>
  <dcterms:created xsi:type="dcterms:W3CDTF">2026-10-02T22:43:14.882Z</dcterms:created>
  <dcterms:modified xsi:type="dcterms:W3CDTF">2026-10-02T22:43:14.882Z</dcterms:modified>
</cp:coreProperties>
</file>

<file path=docProps/custom.xml><?xml version="1.0" encoding="utf-8"?>
<Properties xmlns="http://schemas.openxmlformats.org/officeDocument/2006/custom-properties" xmlns:vt="http://schemas.openxmlformats.org/officeDocument/2006/docPropsVTypes"/>
</file>