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PO Operating Model — Gate Structure</w:t>
      </w:r>
    </w:p>
    <w:p>
      <w:pPr>
        <w:pStyle w:val="Subtext"/>
      </w:pPr>
      <w:r>
        <w:t>Refined decision rights: EPO recommends, Sponsor decides. No one approves their own proposal.</w:t>
      </w:r>
    </w:p>
    <w:p>
      <w:r/>
    </w:p>
    <w:p>
      <w:pPr>
        <w:pStyle w:val="Heading2"/>
      </w:pPr>
      <w:r>
        <w:t>Process Flow (§2)</w:t>
      </w:r>
    </w:p>
    <w:p>
      <w:pPr>
        <w:pStyle w:val="BodyText"/>
      </w:pPr>
      <w:r/>
    </w:p>
    <w:p>
      <w:pPr>
        <w:pStyle w:val="FlowText"/>
      </w:pPr>
      <w:r>
        <w:t>Phase 0 → G1 (EPO recommends → Sponsor prioritizes) → Phase 1 → G2 (EPO recommends → Sponsor decides Go/No-Go) → Phase 2 → G3 → Phase 3 Delivery → G4 → Phase 4 Adoption → G5 → Phase 5 Value (recurring)</w:t>
      </w:r>
    </w:p>
    <w:p>
      <w:pPr>
        <w:pStyle w:val="BodyText"/>
      </w:pPr>
      <w:r/>
    </w:p>
    <w:p>
      <w:pPr>
        <w:pStyle w:val="Heading2"/>
      </w:pPr>
      <w:r>
        <w:t>G1 — Priority Checkpoint (Phase 0: Intake &amp; Triage)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EPO prepares</w:t>
            </w:r>
          </w:p>
        </w:tc>
        <w:tc>
          <w:tcPr>
            <w:tcW w:type="dxa" w:w="4320"/>
          </w:tcPr>
          <w:p>
            <w:r>
              <w:t>Triage summary with priority ranking based on portfolio fit, urgency, strategic alignment, rough economics, and blocker check</w:t>
            </w:r>
          </w:p>
        </w:tc>
      </w:tr>
      <w:tr>
        <w:tc>
          <w:tcPr>
            <w:tcW w:type="dxa" w:w="4320"/>
          </w:tcPr>
          <w:p>
            <w:r>
              <w:t>Sponsor decides</w:t>
            </w:r>
          </w:p>
        </w:tc>
        <w:tc>
          <w:tcPr>
            <w:tcW w:type="dxa" w:w="4320"/>
          </w:tcPr>
          <w:p>
            <w:r>
              <w:t>Which tasks proceed to Phase 1 discovery and in what priority order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Signed priority queue — approved tasks with clear order of execution</w:t>
            </w:r>
          </w:p>
        </w:tc>
      </w:tr>
    </w:tbl>
    <w:p>
      <w:r/>
    </w:p>
    <w:p>
      <w:pPr>
        <w:pStyle w:val="Heading2"/>
      </w:pPr>
      <w:r>
        <w:t>G2 — Go/No-Go (Phase 1: Discovery &amp; Business 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EPO prepares</w:t>
            </w:r>
          </w:p>
        </w:tc>
        <w:tc>
          <w:tcPr>
            <w:tcW w:type="dxa" w:w="4320"/>
          </w:tcPr>
          <w:p>
            <w:r>
              <w:t>Complete business case covering:</w:t>
              <w:br/>
              <w:t>• Feasibility assessment (technical, operational, regulatory)</w:t>
              <w:br/>
              <w:t>• Total cost estimate (build/buy/configure + running)</w:t>
              <w:br/>
              <w:t>• Value quantification (hours saved, cost reduction, risk reduction)</w:t>
              <w:br/>
              <w:t>• ROI model (payback period, break-even, 3-yr ROI)</w:t>
              <w:br/>
              <w:t>• Proposed solution outline (what, how, by whom)</w:t>
              <w:br/>
              <w:t>• Risk assessment and mitigation approach</w:t>
            </w:r>
          </w:p>
        </w:tc>
      </w:tr>
      <w:tr>
        <w:tc>
          <w:tcPr>
            <w:tcW w:type="dxa" w:w="4320"/>
          </w:tcPr>
          <w:p>
            <w:r>
              <w:t>Sponsor decides</w:t>
            </w:r>
          </w:p>
        </w:tc>
        <w:tc>
          <w:tcPr>
            <w:tcW w:type="dxa" w:w="4320"/>
          </w:tcPr>
          <w:p>
            <w:r>
              <w:t>Go — approve budget, authorise Phase 2 solution selection</w:t>
              <w:br/>
              <w:t>OR</w:t>
              <w:br/>
              <w:t>No-Go — kill or defer the project (rationale recorded in decision log)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Signed business case with Go/No-Go decision recorded in the decision log</w:t>
            </w:r>
          </w:p>
        </w:tc>
      </w:tr>
    </w:tbl>
    <w:p>
      <w:r/>
    </w:p>
    <w:p>
      <w:pPr>
        <w:pStyle w:val="Heading2"/>
      </w:pPr>
      <w:r>
        <w:t>Decision Rights Table (§4)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Prepares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Who Decides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When</w:t>
            </w:r>
          </w:p>
        </w:tc>
      </w:tr>
      <w:tr>
        <w:tc>
          <w:tcPr>
            <w:tcW w:type="dxa" w:w="2160"/>
          </w:tcPr>
          <w:p>
            <w:r>
              <w:t>G1: Priority Checkpoint</w:t>
            </w:r>
          </w:p>
        </w:tc>
        <w:tc>
          <w:tcPr>
            <w:tcW w:type="dxa" w:w="2160"/>
          </w:tcPr>
          <w:p>
            <w:r>
              <w:t>EPO (triage + priority ranking)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End of Phase 0</w:t>
            </w:r>
          </w:p>
        </w:tc>
      </w:tr>
      <w:tr>
        <w:tc>
          <w:tcPr>
            <w:tcW w:type="dxa" w:w="2160"/>
          </w:tcPr>
          <w:p>
            <w:r>
              <w:t>G2: Go/No-Go</w:t>
            </w:r>
          </w:p>
        </w:tc>
        <w:tc>
          <w:tcPr>
            <w:tcW w:type="dxa" w:w="2160"/>
          </w:tcPr>
          <w:p>
            <w:r>
              <w:t>EPO (business case)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End of Phase 1</w:t>
            </w:r>
          </w:p>
        </w:tc>
      </w:tr>
      <w:tr>
        <w:tc>
          <w:tcPr>
            <w:tcW w:type="dxa" w:w="2160"/>
          </w:tcPr>
          <w:p>
            <w:r>
              <w:t>G3: Delivery go-ahead</w:t>
            </w:r>
          </w:p>
        </w:tc>
        <w:tc>
          <w:tcPr>
            <w:tcW w:type="dxa" w:w="2160"/>
          </w:tcPr>
          <w:p>
            <w:r>
              <w:t>EPO</w:t>
            </w:r>
          </w:p>
        </w:tc>
        <w:tc>
          <w:tcPr>
            <w:tcW w:type="dxa" w:w="2160"/>
          </w:tcPr>
          <w:p>
            <w:r>
              <w:t>Sponsor + Architecture review</w:t>
            </w:r>
          </w:p>
        </w:tc>
        <w:tc>
          <w:tcPr>
            <w:tcW w:type="dxa" w:w="2160"/>
          </w:tcPr>
          <w:p>
            <w:r>
              <w:t>End of Phase 2</w:t>
            </w:r>
          </w:p>
        </w:tc>
      </w:tr>
      <w:tr>
        <w:tc>
          <w:tcPr>
            <w:tcW w:type="dxa" w:w="2160"/>
          </w:tcPr>
          <w:p>
            <w:r>
              <w:t>G4: Go-live</w:t>
            </w:r>
          </w:p>
        </w:tc>
        <w:tc>
          <w:tcPr>
            <w:tcW w:type="dxa" w:w="2160"/>
          </w:tcPr>
          <w:p>
            <w:r>
              <w:t>EPO</w:t>
            </w:r>
          </w:p>
        </w:tc>
        <w:tc>
          <w:tcPr>
            <w:tcW w:type="dxa" w:w="2160"/>
          </w:tcPr>
          <w:p>
            <w:r>
              <w:t>Sponsor + Operations</w:t>
            </w:r>
          </w:p>
        </w:tc>
        <w:tc>
          <w:tcPr>
            <w:tcW w:type="dxa" w:w="2160"/>
          </w:tcPr>
          <w:p>
            <w:r>
              <w:t>End of Phase 3</w:t>
            </w:r>
          </w:p>
        </w:tc>
      </w:tr>
      <w:tr>
        <w:tc>
          <w:tcPr>
            <w:tcW w:type="dxa" w:w="2160"/>
          </w:tcPr>
          <w:p>
            <w:r>
              <w:t>G5: Value review &amp; handover</w:t>
            </w:r>
          </w:p>
        </w:tc>
        <w:tc>
          <w:tcPr>
            <w:tcW w:type="dxa" w:w="2160"/>
          </w:tcPr>
          <w:p>
            <w:r>
              <w:t>EPO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End of Phase 4</w:t>
            </w:r>
          </w:p>
        </w:tc>
      </w:tr>
      <w:tr>
        <w:tc>
          <w:tcPr>
            <w:tcW w:type="dxa" w:w="2160"/>
          </w:tcPr>
          <w:p>
            <w:r>
              <w:t>Quarterly value review</w:t>
            </w:r>
          </w:p>
        </w:tc>
        <w:tc>
          <w:tcPr>
            <w:tcW w:type="dxa" w:w="2160"/>
          </w:tcPr>
          <w:p>
            <w:r>
              <w:t>EPO (benefit tracker)</w:t>
            </w:r>
          </w:p>
        </w:tc>
        <w:tc>
          <w:tcPr>
            <w:tcW w:type="dxa" w:w="2160"/>
          </w:tcPr>
          <w:p>
            <w:r>
              <w:t>Sponsor</w:t>
            </w:r>
          </w:p>
        </w:tc>
        <w:tc>
          <w:tcPr>
            <w:tcW w:type="dxa" w:w="2160"/>
          </w:tcPr>
          <w:p>
            <w:r>
              <w:t>Quarterly in Phase 5</w:t>
            </w:r>
          </w:p>
        </w:tc>
      </w:tr>
    </w:tbl>
    <w:p>
      <w:r/>
    </w:p>
    <w:p>
      <w:pPr>
        <w:pStyle w:val="Heading2"/>
      </w:pPr>
      <w:r>
        <w:t>Design Principle</w:t>
      </w:r>
    </w:p>
    <w:p>
      <w:pPr>
        <w:pStyle w:val="PrincipleText"/>
      </w:pPr>
      <w:r>
        <w:t>EPO prepares the recommendation and evidence. Sponsor makes the call. No one approves their own proposal.</w:t>
      </w:r>
    </w:p>
    <w:p>
      <w:r/>
    </w:p>
    <w:p>
      <w:pPr>
        <w:pStyle w:val="Heading2"/>
      </w:pPr>
      <w:r>
        <w:t>Core Accountabilities (§1)</w:t>
      </w:r>
    </w:p>
    <w:p>
      <w:pPr>
        <w:pStyle w:val="ListBullet"/>
      </w:pPr>
      <w:r>
        <w:t>Opportunity framing and business case (economics first)</w:t>
      </w:r>
    </w:p>
    <w:p>
      <w:pPr>
        <w:pStyle w:val="ListBullet"/>
      </w:pPr>
      <w:r>
        <w:t>Gate recommendation preparation — produces the analysis and proposal; does not approve own recommendation</w:t>
      </w:r>
    </w:p>
    <w:p>
      <w:pPr>
        <w:pStyle w:val="ListBullet"/>
      </w:pPr>
      <w:r>
        <w:t>Stakeholder and sponsor management</w:t>
      </w:r>
    </w:p>
    <w:p>
      <w:pPr>
        <w:pStyle w:val="ListBullet"/>
      </w:pPr>
      <w:r>
        <w:t>Requirements and solution ownership (build / buy / configure)</w:t>
      </w:r>
    </w:p>
    <w:p>
      <w:pPr>
        <w:pStyle w:val="ListBullet"/>
      </w:pPr>
      <w:r>
        <w:t>Delivery governance (with delivery leads/PMs where they exist)</w:t>
      </w:r>
    </w:p>
    <w:p>
      <w:pPr>
        <w:pStyle w:val="ListBullet"/>
      </w:pPr>
      <w:r>
        <w:t>Adoption and change — where most value is won or lost</w:t>
      </w:r>
    </w:p>
    <w:p>
      <w:pPr>
        <w:pStyle w:val="ListBullet"/>
      </w:pPr>
      <w:r>
        <w:t>Value measurement and reporting after go-live</w:t>
      </w:r>
    </w:p>
    <w:p>
      <w:r/>
    </w:p>
    <w:p>
      <w:pPr>
        <w:pStyle w:val="Heading2"/>
      </w:pPr>
      <w:r>
        <w:t>Value &amp; Measurement Standards (§5)</w:t>
      </w:r>
    </w:p>
    <w:p>
      <w:pPr>
        <w:pStyle w:val="ListBullet"/>
      </w:pPr>
      <w:r>
        <w:t>ROI basis (confirm): 1 FTE = 2,080 h/yr; fully loaded $36k/yr</w:t>
      </w:r>
    </w:p>
    <w:p>
      <w:pPr>
        <w:pStyle w:val="ListBullet"/>
      </w:pPr>
      <w:r>
        <w:t>Measure outcomes (hours saved, cycle time, error rate, cost per transaction, capacity freed), not activity</w:t>
      </w:r>
    </w:p>
    <w:p>
      <w:pPr>
        <w:pStyle w:val="ListBullet"/>
      </w:pPr>
      <w:r>
        <w:t>Baselines captured before deployment; benefit claims require before/after evidence</w:t>
      </w:r>
    </w:p>
    <w:p>
      <w:pPr>
        <w:pStyle w:val="ListBullet"/>
      </w:pPr>
      <w:r>
        <w:t>Every business case states: expected payback period, break-even trigger, and kill/stop criteria</w:t>
      </w:r>
    </w:p>
    <w:p>
      <w:pPr>
        <w:pStyle w:val="ListBullet"/>
      </w:pPr>
      <w:r>
        <w:t>Every Go/No-Go decision recorded in decision log with rationale; No-Go decisions preserved for future reference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rPr>
      <w:rFonts w:ascii="Calibri" w:hAnsi="Calibri"/>
      <w:b/>
      <w:color w:val="1F4E79"/>
    </w:rPr>
  </w:style>
  <w:style w:type="paragraph" w:customStyle="1" w:styleId="GateHeading">
    <w:name w:val="GateHeading"/>
    <w:rPr>
      <w:rFonts w:ascii="Calibri" w:hAnsi="Calibri"/>
      <w:b/>
      <w:color w:val="2E75B6"/>
    </w:rPr>
  </w:style>
  <w:style w:type="paragraph" w:customStyle="1" w:styleId="TableHeader">
    <w:name w:val="TableHeader"/>
    <w:rPr>
      <w:rFonts w:ascii="Calibri" w:hAnsi="Calibri"/>
      <w:b/>
      <w:color w:val="FFFFFF"/>
    </w:rPr>
  </w:style>
  <w:style w:type="paragraph" w:customStyle="1" w:styleId="TableCell">
    <w:name w:val="TableCell"/>
    <w:rPr>
      <w:rFonts w:ascii="Calibri" w:hAnsi="Calibri"/>
    </w:rPr>
  </w:style>
  <w:style w:type="paragraph" w:customStyle="1" w:styleId="LabelCell">
    <w:name w:val="LabelCell"/>
    <w:rPr>
      <w:rFonts w:ascii="Calibri" w:hAnsi="Calibri"/>
      <w:b/>
      <w:color w:val="1F4E79"/>
    </w:rPr>
  </w:style>
  <w:style w:type="paragraph" w:customStyle="1" w:styleId="BodyText">
    <w:name w:val="BodyText"/>
    <w:rPr>
      <w:rFonts w:ascii="Calibri" w:hAnsi="Calibri"/>
    </w:rPr>
  </w:style>
  <w:style w:type="paragraph" w:customStyle="1" w:styleId="FlowText">
    <w:name w:val="FlowText"/>
    <w:rPr>
      <w:rFonts w:ascii="Consolas" w:hAnsi="Consolas"/>
    </w:rPr>
  </w:style>
  <w:style w:type="paragraph" w:customStyle="1" w:styleId="PrincipleText">
    <w:name w:val="PrincipleText"/>
    <w:rPr>
      <w:rFonts w:ascii="Calibri" w:hAnsi="Calibri"/>
      <w:i/>
      <w:color w:val="2E75B6"/>
    </w:rPr>
  </w:style>
  <w:style w:type="paragraph" w:customStyle="1" w:styleId="Subtext">
    <w:name w:val="Subtext"/>
    <w:rPr>
      <w:rFonts w:ascii="Calibri" w:hAnsi="Calibri"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