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مدیر حساب مشتری</w:t>
      </w:r>
    </w:p>
    <w:p>
      <w:pPr>
        <w:spacing w:after="480"/>
        <w:jc w:val="center"/>
      </w:pPr>
      <w:r>
        <w:rPr>
          <w:rFonts w:ascii="Arial" w:hAnsi="Arial" w:cs="Arial" w:eastAsia="Arial"/>
          <w:color w:val="1F4D78"/>
          <w:sz w:val="30"/>
          <w:rtl w:val="0"/>
        </w:rPr>
        <w:t>Account Manager</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درآمد، مشتری و فروش</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مدیر حساب مشتری (</w:t>
      </w:r>
      <w:r>
        <w:rPr>
          <w:rFonts w:ascii="Arial" w:hAnsi="Arial" w:cs="Arial" w:eastAsia="Arial"/>
          <w:b/>
          <w:sz w:val="22"/>
          <w:rtl w:val="0"/>
        </w:rPr>
        <w:t>‎Account Manager)‎</w:t>
      </w:r>
      <w:r>
        <w:rPr>
          <w:rFonts w:ascii="Arial" w:hAnsi="Arial" w:cs="Arial" w:eastAsia="Arial"/>
          <w:b w:val="0"/>
          <w:sz w:val="22"/>
          <w:rtl/>
        </w:rPr>
        <w:t xml:space="preserve"> رابطه، رضایت، تمدید و رشد درآمد یک سبد مشتری را پس از فروش اولیه مالک می‌شود.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‎Account Manager‎</w:t>
      </w:r>
      <w:r>
        <w:rPr>
          <w:rFonts w:ascii="Arial" w:hAnsi="Arial" w:cs="Arial" w:eastAsia="Arial"/>
          <w:b w:val="0"/>
          <w:sz w:val="22"/>
          <w:rtl/>
        </w:rPr>
        <w:t xml:space="preserve"> و مسیرهای نزدیک را پوشش دهد. مرز عملی این گزارش چنین است: فروشنده شکارچی یا پشتیبان تیکت نیست؛ مسئول تبدیل وعده قرارداد به ارزش، هماهنگی و توسعه حساب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ریسک ریزش، استفاده کم، انتظارات مبهم و فرصت توسعه از دست‌رفته است. ذی‌نفعان اصلی تصمیم‌گیر مشتری، کاربر، فروش، تحویل، مالی و محصول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برنامه حساب</w:t>
      </w:r>
    </w:p>
    <w:p>
      <w:pPr>
        <w:pStyle w:val="ListBullet"/>
        <w:keepLines/>
        <w:spacing w:after="80" w:line="300" w:lineRule="auto"/>
        <w:ind w:left="540" w:hanging="271"/>
        <w:jc w:val="right"/>
        <w:bidi w:val="1"/>
      </w:pPr>
      <w:r>
        <w:rPr>
          <w:rFonts w:ascii="Arial" w:hAnsi="Arial" w:cs="Arial" w:eastAsia="Arial"/>
          <w:b w:val="0"/>
          <w:sz w:val="22"/>
          <w:rtl/>
        </w:rPr>
        <w:t>پیش‌بینی تمدید</w:t>
      </w:r>
    </w:p>
    <w:p>
      <w:pPr>
        <w:pStyle w:val="ListBullet"/>
        <w:keepLines/>
        <w:spacing w:after="80" w:line="300" w:lineRule="auto"/>
        <w:ind w:left="540" w:hanging="271"/>
        <w:jc w:val="right"/>
        <w:bidi w:val="1"/>
      </w:pPr>
      <w:r>
        <w:rPr>
          <w:rFonts w:ascii="Arial" w:hAnsi="Arial" w:cs="Arial" w:eastAsia="Arial"/>
          <w:b w:val="0"/>
          <w:sz w:val="22"/>
          <w:rtl/>
        </w:rPr>
        <w:t>جلسه مرور کسب‌وکار</w:t>
      </w:r>
    </w:p>
    <w:p>
      <w:pPr>
        <w:pStyle w:val="ListBullet"/>
        <w:keepLines/>
        <w:spacing w:after="80" w:line="300" w:lineRule="auto"/>
        <w:ind w:left="540" w:hanging="271"/>
        <w:jc w:val="right"/>
        <w:bidi w:val="1"/>
      </w:pPr>
      <w:r>
        <w:rPr>
          <w:rFonts w:ascii="Arial" w:hAnsi="Arial" w:cs="Arial" w:eastAsia="Arial"/>
          <w:b w:val="0"/>
          <w:sz w:val="22"/>
          <w:rtl/>
        </w:rPr>
        <w:t>نقشه ریسک و توسعه</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باید بدون اختیار مستقیم، تیم داخلی و مشتری را هم‌زمان همسو کرد و میان رضایت کوتاه‌مدت و سودآوری قرارداد تعادل ساخت.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مرور سلامت حساب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نیروی باتجربه علاوه بر اجرا، میان تقاضاهای رقیب انتخاب می‌کند. او ممکن است هماهنگی تعهدات، جلسه تصمیم با دو ذی‌نفع و مرور نرخ تمدید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سلامت حساب</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حفظ و توسعه رابطه تجاری پس از قرارداد با کنترل تعهد و ریسک به نشانه‌های سطحی واکنش نشان می‌دهد و «برنامه حساب»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حساب</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درآمد، مالی و تیم‌های اجرایی؛ بازبین «برنامه حساب»</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برنامه حساب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تعهدات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پراکنده را به تصمیم ثبت‌شده تبدیل می‌کند و مانع می‌شود «پیش‌بینی تمدید» میان ذی‌نفعان معطل بماند.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پیش‌بینی تمدید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مشتری/پذیرنده، حقوقی، مالی و تیم تحویل؛ بازبین «پیش‌بینی تمدید»</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تعهد شفاهی بدون مالک، موعد و </w:t>
            </w:r>
            <w:r>
              <w:rPr>
                <w:rFonts w:ascii="Arial" w:hAnsi="Arial" w:cs="Arial" w:eastAsia="Arial"/>
                <w:b w:val="0"/>
                <w:sz w:val="18"/>
                <w:rtl w:val="0"/>
              </w:rPr>
              <w:t>‎escalation‎</w:t>
            </w:r>
            <w:r>
              <w:rPr>
                <w:rFonts w:ascii="Arial" w:hAnsi="Arial" w:cs="Arial" w:eastAsia="Arial"/>
                <w:b w:val="0"/>
                <w:sz w:val="18"/>
                <w:rtl/>
              </w:rPr>
              <w:t xml:space="preserve"> ثبت می‌شود و تحویلِ پیش‌بینی تمدید قابل پیگیری نیست.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w:t>
            </w:r>
            <w:r>
              <w:rPr>
                <w:rFonts w:ascii="Arial" w:hAnsi="Arial" w:cs="Arial" w:eastAsia="Arial"/>
                <w:b w:val="0"/>
                <w:sz w:val="18"/>
                <w:rtl w:val="0"/>
              </w:rPr>
              <w:t>‎escalation‎</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حفظ و توسعه رابطه تجاری پس از قرارداد با کنترل تعهد و ریسک است و «جلسه مرور کسب‌وکار»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جلسه مرور کسب‌وکار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تحویل، محصول و پشتیبانی؛ بازبین «جلسه مرور کسب‌وکار»</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«جلسه مرور کسب‌وکار»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حفظ و توسعه رابطه تجاری پس از قرارداد با کنترل تعهد و ریسک به نشانه‌های سطحی واکنش نشان می‌دهد و «نقشه ریسک و توسعه»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 ریسک و توسعه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درآمد، مالی و تیم‌های اجرایی؛ بازبین «نقشه ریسک و توسعه»</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نقشه ریسک و توسعه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مشتری، فروش، محصول، پشتیبانی و مالی؛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مرور سلامت حساب</w:t>
      </w:r>
    </w:p>
    <w:p>
      <w:pPr>
        <w:pStyle w:val="ListBullet"/>
        <w:keepLines/>
        <w:spacing w:after="80" w:line="300" w:lineRule="auto"/>
        <w:ind w:left="540" w:hanging="271"/>
        <w:jc w:val="right"/>
        <w:bidi w:val="1"/>
      </w:pPr>
      <w:r>
        <w:rPr>
          <w:rFonts w:ascii="Arial" w:hAnsi="Arial" w:cs="Arial" w:eastAsia="Arial"/>
          <w:b w:val="0"/>
          <w:sz w:val="22"/>
          <w:rtl/>
        </w:rPr>
        <w:t>هماهنگی تعهدات</w:t>
      </w:r>
    </w:p>
    <w:p>
      <w:pPr>
        <w:pStyle w:val="ListBullet"/>
        <w:keepLines/>
        <w:spacing w:after="80" w:line="300" w:lineRule="auto"/>
        <w:ind w:left="540" w:hanging="271"/>
        <w:jc w:val="right"/>
        <w:bidi w:val="1"/>
      </w:pPr>
      <w:r>
        <w:rPr>
          <w:rFonts w:ascii="Arial" w:hAnsi="Arial" w:cs="Arial" w:eastAsia="Arial"/>
          <w:b w:val="0"/>
          <w:sz w:val="22"/>
          <w:rtl/>
        </w:rPr>
        <w:t xml:space="preserve">مدیریت </w:t>
      </w:r>
      <w:r>
        <w:rPr>
          <w:rFonts w:ascii="Arial" w:hAnsi="Arial" w:cs="Arial" w:eastAsia="Arial"/>
          <w:b w:val="0"/>
          <w:sz w:val="22"/>
          <w:rtl w:val="0"/>
        </w:rPr>
        <w:t>‎escalation‎</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نرخ تمدید، </w:t>
      </w:r>
      <w:r>
        <w:rPr>
          <w:rFonts w:ascii="Arial" w:hAnsi="Arial" w:cs="Arial" w:eastAsia="Arial"/>
          <w:b w:val="0"/>
          <w:sz w:val="22"/>
          <w:rtl w:val="0"/>
        </w:rPr>
        <w:t>‎NRR/GRR‎</w:t>
      </w:r>
      <w:r>
        <w:rPr>
          <w:rFonts w:ascii="Arial" w:hAnsi="Arial" w:cs="Arial" w:eastAsia="Arial"/>
          <w:b w:val="0"/>
          <w:sz w:val="22"/>
          <w:rtl/>
        </w:rPr>
        <w:t>، رضایت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تصمیم‌گیر مشتری، کاربر، فروش، تحویل، مالی و محصول،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برنامه حساب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1609"/>
        <w:gridCol w:w="1901"/>
        <w:gridCol w:w="5850"/>
      </w:tblGrid>
      <w:tr>
        <w:trPr>
          <w:cantSplit w:val="true"/>
          <w:tblHeader w:val="true"/>
        </w:trPr>
        <w:tc>
          <w:tcPr>
            <w:tcW w:type="dxa" w:w="16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90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8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16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تمدید</w:t>
            </w:r>
          </w:p>
        </w:tc>
        <w:tc>
          <w:tcPr>
            <w:tcW w:type="dxa" w:w="1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16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‎NRR/GRR‎</w:t>
            </w:r>
          </w:p>
        </w:tc>
        <w:tc>
          <w:tcPr>
            <w:tcW w:type="dxa" w:w="1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16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رضایت</w:t>
            </w:r>
          </w:p>
        </w:tc>
        <w:tc>
          <w:tcPr>
            <w:tcW w:type="dxa" w:w="1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16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درآمد توسعه</w:t>
            </w:r>
          </w:p>
        </w:tc>
        <w:tc>
          <w:tcPr>
            <w:tcW w:type="dxa" w:w="1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16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و وصول</w:t>
            </w:r>
          </w:p>
        </w:tc>
        <w:tc>
          <w:tcPr>
            <w:tcW w:type="dxa" w:w="19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مدیریت ذی‌نفع</w:t>
      </w:r>
    </w:p>
    <w:p>
      <w:pPr>
        <w:pStyle w:val="ListBullet"/>
        <w:keepLines/>
        <w:spacing w:after="80" w:line="300" w:lineRule="auto"/>
        <w:ind w:left="540" w:hanging="271"/>
        <w:jc w:val="right"/>
        <w:bidi w:val="1"/>
      </w:pPr>
      <w:r>
        <w:rPr>
          <w:rFonts w:ascii="Arial" w:hAnsi="Arial" w:cs="Arial" w:eastAsia="Arial"/>
          <w:b w:val="0"/>
          <w:sz w:val="22"/>
          <w:rtl/>
        </w:rPr>
        <w:t>مذاکره</w:t>
      </w:r>
    </w:p>
    <w:p>
      <w:pPr>
        <w:pStyle w:val="ListBullet"/>
        <w:keepLines/>
        <w:spacing w:after="80" w:line="300" w:lineRule="auto"/>
        <w:ind w:left="540" w:hanging="271"/>
        <w:jc w:val="right"/>
        <w:bidi w:val="1"/>
      </w:pPr>
      <w:r>
        <w:rPr>
          <w:rFonts w:ascii="Arial" w:hAnsi="Arial" w:cs="Arial" w:eastAsia="Arial"/>
          <w:b w:val="0"/>
          <w:sz w:val="22"/>
          <w:rtl/>
        </w:rPr>
        <w:t>فهم قرارداد</w:t>
      </w:r>
    </w:p>
    <w:p>
      <w:pPr>
        <w:pStyle w:val="ListBullet"/>
        <w:keepLines/>
        <w:spacing w:after="80" w:line="300" w:lineRule="auto"/>
        <w:ind w:left="540" w:hanging="271"/>
        <w:jc w:val="right"/>
        <w:bidi w:val="1"/>
      </w:pPr>
      <w:r>
        <w:rPr>
          <w:rFonts w:ascii="Arial" w:hAnsi="Arial" w:cs="Arial" w:eastAsia="Arial"/>
          <w:b w:val="0"/>
          <w:sz w:val="22"/>
          <w:rtl/>
        </w:rPr>
        <w:t>تحلیل سلامت حساب</w:t>
      </w:r>
    </w:p>
    <w:p>
      <w:pPr>
        <w:pStyle w:val="ListBullet"/>
        <w:keepLines/>
        <w:spacing w:after="80" w:line="300" w:lineRule="auto"/>
        <w:ind w:left="540" w:hanging="271"/>
        <w:jc w:val="right"/>
        <w:bidi w:val="1"/>
      </w:pPr>
      <w:r>
        <w:rPr>
          <w:rFonts w:ascii="Arial" w:hAnsi="Arial" w:cs="Arial" w:eastAsia="Arial"/>
          <w:b w:val="0"/>
          <w:sz w:val="22"/>
          <w:rtl/>
        </w:rPr>
        <w:t>ارائه اجرایی</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مدیریت ذی‌نفع.</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مدیریت ذی‌نفع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مدیریت ذی‌نفع: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مدیریت ذی‌نفع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مذاکره.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مذاکره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مذاکره: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مذاکره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فهم قرارداد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فهم قرارداد مرز اختیار، رضایت و ریسک قانونی/اعتباری تحویل را تعیین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تبدیل الزام فهم قرارداد به </w:t>
            </w:r>
            <w:r>
              <w:rPr>
                <w:rFonts w:ascii="Arial" w:hAnsi="Arial" w:cs="Arial" w:eastAsia="Arial"/>
                <w:b w:val="0"/>
                <w:sz w:val="18"/>
                <w:rtl w:val="0"/>
              </w:rPr>
              <w:t>‎checklist‎</w:t>
            </w:r>
            <w:r>
              <w:rPr>
                <w:rFonts w:ascii="Arial" w:hAnsi="Arial" w:cs="Arial" w:eastAsia="Arial"/>
                <w:b w:val="0"/>
                <w:sz w:val="18"/>
                <w:rtl/>
              </w:rPr>
              <w:t xml:space="preserve">، ثبت استناد، </w:t>
            </w:r>
            <w:r>
              <w:rPr>
                <w:rFonts w:ascii="Arial" w:hAnsi="Arial" w:cs="Arial" w:eastAsia="Arial"/>
                <w:b w:val="0"/>
                <w:sz w:val="18"/>
                <w:rtl w:val="0"/>
              </w:rPr>
              <w:t>‎escalation‎</w:t>
            </w:r>
            <w:r>
              <w:rPr>
                <w:rFonts w:ascii="Arial" w:hAnsi="Arial" w:cs="Arial" w:eastAsia="Arial"/>
                <w:b w:val="0"/>
                <w:sz w:val="18"/>
                <w:rtl/>
              </w:rPr>
              <w:t xml:space="preserve"> و نگهداشت شاهد.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قاعده فهم قرارداد را حفظی و قطعی می‌گوید اما تاریخ، دامنه و مرجع را ثبت نمی‌کند.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الزام فهم قرارداد را با منبع جاری، سناریوی مرزی و نقطه ارجاع به متخصص اعمال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فهم قرارداد: ورود: تشخیص الزام؛ استقلال: اجرای کنترل؛ ارشد: تفسیر با همکاری حقوقی/حرفه‌ای.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‎memo‎</w:t>
            </w:r>
            <w:r>
              <w:rPr>
                <w:rFonts w:ascii="Arial" w:hAnsi="Arial" w:cs="Arial" w:eastAsia="Arial"/>
                <w:b w:val="0"/>
                <w:sz w:val="18"/>
                <w:rtl/>
              </w:rPr>
              <w:t xml:space="preserve"> بی‌نامِ فهم قرارداد با منبع، تصمیم، کنترل، استثنا و تاریخ بازبینی.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سلامت حساب</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سلامت حساب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تحلیل سلامت حساب: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تحلیل سلامت حساب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سلامت حساب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تحلیل سلامت حساب: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تحلیل سلامت حساب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ارائه اجرایی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ارائه اجرایی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ارائه اجرایی.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ارائه اجرایی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ارائه اجرایی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ارائه اجرایی: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ارائه اجرایی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29"/>
        <w:gridCol w:w="7131"/>
      </w:tblGrid>
      <w:tr>
        <w:trPr>
          <w:cantSplit w:val="true"/>
          <w:tblHeader w:val="true"/>
        </w:trPr>
        <w:tc>
          <w:tcPr>
            <w:tcW w:type="dxa" w:w="22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1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مذاکره، فهم قرارداد</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سلامت حساب، ارائه اجرایی و آشنایی مالی/حقوقی مرتبط</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‎Customer Success Platform‎</w:t>
            </w:r>
            <w:r>
              <w:rPr>
                <w:rFonts w:ascii="Arial" w:hAnsi="Arial" w:cs="Arial" w:eastAsia="Arial"/>
                <w:b w:val="0"/>
                <w:sz w:val="18"/>
                <w:rtl/>
              </w:rPr>
              <w:t xml:space="preserve">، </w:t>
            </w:r>
            <w:r>
              <w:rPr>
                <w:rFonts w:ascii="Arial" w:hAnsi="Arial" w:cs="Arial" w:eastAsia="Arial"/>
                <w:b w:val="0"/>
                <w:sz w:val="18"/>
                <w:rtl w:val="0"/>
              </w:rPr>
              <w:t>‎Excel/BI‎</w:t>
            </w:r>
            <w:r>
              <w:rPr>
                <w:rFonts w:ascii="Arial" w:hAnsi="Arial" w:cs="Arial" w:eastAsia="Arial"/>
                <w:b w:val="0"/>
                <w:sz w:val="18"/>
                <w:rtl/>
              </w:rPr>
              <w:t xml:space="preserve">، </w:t>
            </w:r>
            <w:r>
              <w:rPr>
                <w:rFonts w:ascii="Arial" w:hAnsi="Arial" w:cs="Arial" w:eastAsia="Arial"/>
                <w:b w:val="0"/>
                <w:sz w:val="18"/>
                <w:rtl w:val="0"/>
              </w:rPr>
              <w:t>‎Ticketing‎</w:t>
            </w:r>
            <w:r>
              <w:rPr>
                <w:rFonts w:ascii="Arial" w:hAnsi="Arial" w:cs="Arial" w:eastAsia="Arial"/>
                <w:b w:val="0"/>
                <w:sz w:val="18"/>
                <w:rtl/>
              </w:rPr>
              <w:t>، ابزار قرارداد و جلسه، صنعت و زبان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مرور سلامت حساب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‎CRM‎</w:t>
      </w:r>
      <w:r>
        <w:rPr>
          <w:rFonts w:ascii="Arial" w:hAnsi="Arial" w:cs="Arial" w:eastAsia="Arial"/>
          <w:b w:val="0"/>
          <w:sz w:val="22"/>
          <w:rtl/>
        </w:rPr>
        <w:t xml:space="preserve"> و </w:t>
      </w:r>
      <w:r>
        <w:rPr>
          <w:rFonts w:ascii="Arial" w:hAnsi="Arial" w:cs="Arial" w:eastAsia="Arial"/>
          <w:b w:val="0"/>
          <w:sz w:val="22"/>
          <w:rtl w:val="0"/>
        </w:rPr>
        <w:t>‎Customer Success Platform‎</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پروژه نمونه باید برنامه حساب، پیش‌بینی تمدید، جلسه مرور کسب‌وکار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برنامه حساب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باید بدون اختیار مستقیم، تیم داخلی و مشتری را هم‌زمان همسو کرد و میان رضایت کوتاه‌مدت و سودآوری قرارداد تعادل ساخت.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‎5‎</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‎5‎</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‎Account Manager‎</w:t>
      </w:r>
      <w:r>
        <w:rPr>
          <w:rFonts w:ascii="Arial" w:hAnsi="Arial" w:cs="Arial" w:eastAsia="Arial"/>
          <w:b w:val="0"/>
          <w:sz w:val="22"/>
          <w:rtl/>
        </w:rPr>
        <w:t xml:space="preserve"> ممکن است زیر </w:t>
      </w:r>
      <w:r>
        <w:rPr>
          <w:rFonts w:ascii="Arial" w:hAnsi="Arial" w:cs="Arial" w:eastAsia="Arial"/>
          <w:b w:val="0"/>
          <w:sz w:val="22"/>
          <w:rtl w:val="0"/>
        </w:rPr>
        <w:t>‎Customer Success Manager‎</w:t>
      </w:r>
      <w:r>
        <w:rPr>
          <w:rFonts w:ascii="Arial" w:hAnsi="Arial" w:cs="Arial" w:eastAsia="Arial"/>
          <w:b w:val="0"/>
          <w:sz w:val="22"/>
          <w:rtl/>
        </w:rPr>
        <w:t xml:space="preserve">، </w:t>
      </w:r>
      <w:r>
        <w:rPr>
          <w:rFonts w:ascii="Arial" w:hAnsi="Arial" w:cs="Arial" w:eastAsia="Arial"/>
          <w:b w:val="0"/>
          <w:sz w:val="22"/>
          <w:rtl w:val="0"/>
        </w:rPr>
        <w:t>‎B2B Sales‎</w:t>
      </w:r>
      <w:r>
        <w:rPr>
          <w:rFonts w:ascii="Arial" w:hAnsi="Arial" w:cs="Arial" w:eastAsia="Arial"/>
          <w:b w:val="0"/>
          <w:sz w:val="22"/>
          <w:rtl/>
        </w:rPr>
        <w:t xml:space="preserve">، </w:t>
      </w:r>
      <w:r>
        <w:rPr>
          <w:rFonts w:ascii="Arial" w:hAnsi="Arial" w:cs="Arial" w:eastAsia="Arial"/>
          <w:b w:val="0"/>
          <w:sz w:val="22"/>
          <w:rtl w:val="0"/>
        </w:rPr>
        <w:t>‎Key Account Manager‎</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‎account management‎</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۱۴۰۵]. این عدد حقوق بازار مدیر حساب مشتری نیست. پنج نتیجه جاری ایران‌تلنت دامنه عنوانی از اکانت منیجر تا مدیر مشتری کلیدی داشت و دو آگهی بازه بسیار بالا اعلام کردند؛ این‌ها برای ساخت میانه کافی و همگن نیستند.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«مدیر حساب مشتری».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مدیر حساب مشتری مستقل → سینیور/لید → مدیر حوزه یا متخصص ارشد. شاخه‌های تخصصی می‌توانند به </w:t>
      </w:r>
      <w:r>
        <w:rPr>
          <w:rFonts w:ascii="Arial" w:hAnsi="Arial" w:cs="Arial" w:eastAsia="Arial"/>
          <w:b w:val="0"/>
          <w:sz w:val="22"/>
          <w:rtl w:val="0"/>
        </w:rPr>
        <w:t>‎Customer Success Manager‎</w:t>
      </w:r>
      <w:r>
        <w:rPr>
          <w:rFonts w:ascii="Arial" w:hAnsi="Arial" w:cs="Arial" w:eastAsia="Arial"/>
          <w:b w:val="0"/>
          <w:sz w:val="22"/>
          <w:rtl/>
        </w:rPr>
        <w:t xml:space="preserve">، </w:t>
      </w:r>
      <w:r>
        <w:rPr>
          <w:rFonts w:ascii="Arial" w:hAnsi="Arial" w:cs="Arial" w:eastAsia="Arial"/>
          <w:b w:val="0"/>
          <w:sz w:val="22"/>
          <w:rtl w:val="0"/>
        </w:rPr>
        <w:t>‎B2B Sales‎</w:t>
      </w:r>
      <w:r>
        <w:rPr>
          <w:rFonts w:ascii="Arial" w:hAnsi="Arial" w:cs="Arial" w:eastAsia="Arial"/>
          <w:b w:val="0"/>
          <w:sz w:val="22"/>
          <w:rtl/>
        </w:rPr>
        <w:t xml:space="preserve">، </w:t>
      </w:r>
      <w:r>
        <w:rPr>
          <w:rFonts w:ascii="Arial" w:hAnsi="Arial" w:cs="Arial" w:eastAsia="Arial"/>
          <w:b w:val="0"/>
          <w:sz w:val="22"/>
          <w:rtl w:val="0"/>
        </w:rPr>
        <w:t>‎Key Account Manager‎</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39"/>
        <w:gridCol w:w="1823"/>
        <w:gridCol w:w="1971"/>
        <w:gridCol w:w="1478"/>
        <w:gridCol w:w="1429"/>
        <w:gridCol w:w="1920"/>
      </w:tblGrid>
      <w:tr>
        <w:trPr>
          <w:cantSplit w:val="true"/>
          <w:tblHeader w:val="true"/>
        </w:trPr>
        <w:tc>
          <w:tcPr>
            <w:tcW w:type="dxa" w:w="73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97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حساب با کنترل کیفیت</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پیش‌بینی تمدید و بهبود </w:t>
            </w:r>
            <w:r>
              <w:rPr>
                <w:rFonts w:ascii="Arial" w:hAnsi="Arial" w:cs="Arial" w:eastAsia="Arial"/>
                <w:b w:val="0"/>
                <w:sz w:val="18"/>
                <w:rtl w:val="0"/>
              </w:rPr>
              <w:t>‎KPI‎</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جلسه مرور کسب‌وکار، آموزش و تصمیم پرریسک</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9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مرور سلامت حساب، هماهنگی تعهدات، مدیریت </w:t>
      </w:r>
      <w:r>
        <w:rPr>
          <w:rFonts w:ascii="Arial" w:hAnsi="Arial" w:cs="Arial" w:eastAsia="Arial"/>
          <w:b w:val="0"/>
          <w:sz w:val="22"/>
          <w:rtl w:val="0"/>
        </w:rPr>
        <w:t>‎escalation‎</w:t>
      </w:r>
      <w:r>
        <w:rPr>
          <w:rFonts w:ascii="Arial" w:hAnsi="Arial" w:cs="Arial" w:eastAsia="Arial"/>
          <w:b w:val="0"/>
          <w:sz w:val="22"/>
          <w:rtl/>
        </w:rPr>
        <w:t xml:space="preserve">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550"/>
        <w:gridCol w:w="1426"/>
        <w:gridCol w:w="2541"/>
        <w:gridCol w:w="2108"/>
        <w:gridCol w:w="930"/>
        <w:gridCol w:w="805"/>
      </w:tblGrid>
      <w:tr>
        <w:trPr>
          <w:cantSplit w:val="true"/>
          <w:tblHeader w:val="true"/>
        </w:trPr>
        <w:tc>
          <w:tcPr>
            <w:tcW w:type="dxa" w:w="15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42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54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10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3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0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5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p>
        </w:tc>
        <w:tc>
          <w:tcPr>
            <w:tcW w:type="dxa" w:w="14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سلامت حساب</w:t>
            </w:r>
          </w:p>
        </w:tc>
        <w:tc>
          <w:tcPr>
            <w:tcW w:type="dxa" w:w="25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0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5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‎Customer Success Platform‎</w:t>
            </w:r>
          </w:p>
        </w:tc>
        <w:tc>
          <w:tcPr>
            <w:tcW w:type="dxa" w:w="14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تعهدات</w:t>
            </w:r>
          </w:p>
        </w:tc>
        <w:tc>
          <w:tcPr>
            <w:tcW w:type="dxa" w:w="25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0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5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‎Excel/BI‎</w:t>
            </w:r>
          </w:p>
        </w:tc>
        <w:tc>
          <w:tcPr>
            <w:tcW w:type="dxa" w:w="14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w:t>
            </w:r>
            <w:r>
              <w:rPr>
                <w:rFonts w:ascii="Arial" w:hAnsi="Arial" w:cs="Arial" w:eastAsia="Arial"/>
                <w:b w:val="0"/>
                <w:sz w:val="18"/>
                <w:rtl w:val="0"/>
              </w:rPr>
              <w:t>‎escalation‎</w:t>
            </w:r>
          </w:p>
        </w:tc>
        <w:tc>
          <w:tcPr>
            <w:tcW w:type="dxa" w:w="25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0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5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‎Ticketing‎</w:t>
            </w:r>
          </w:p>
        </w:tc>
        <w:tc>
          <w:tcPr>
            <w:tcW w:type="dxa" w:w="14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آماده‌سازی تمدید</w:t>
            </w:r>
          </w:p>
        </w:tc>
        <w:tc>
          <w:tcPr>
            <w:tcW w:type="dxa" w:w="25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0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5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قرارداد و جلسه</w:t>
            </w:r>
          </w:p>
        </w:tc>
        <w:tc>
          <w:tcPr>
            <w:tcW w:type="dxa" w:w="14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کشف </w:t>
            </w:r>
            <w:r>
              <w:rPr>
                <w:rFonts w:ascii="Arial" w:hAnsi="Arial" w:cs="Arial" w:eastAsia="Arial"/>
                <w:b w:val="0"/>
                <w:sz w:val="18"/>
                <w:rtl w:val="0"/>
              </w:rPr>
              <w:t>‎cross-sell‎</w:t>
            </w:r>
            <w:r>
              <w:rPr>
                <w:rFonts w:ascii="Arial" w:hAnsi="Arial" w:cs="Arial" w:eastAsia="Arial"/>
                <w:b w:val="0"/>
                <w:sz w:val="18"/>
                <w:rtl/>
              </w:rPr>
              <w:t xml:space="preserve"> و </w:t>
            </w:r>
            <w:r>
              <w:rPr>
                <w:rFonts w:ascii="Arial" w:hAnsi="Arial" w:cs="Arial" w:eastAsia="Arial"/>
                <w:b w:val="0"/>
                <w:sz w:val="18"/>
                <w:rtl w:val="0"/>
              </w:rPr>
              <w:t>‎upsell‎</w:t>
            </w:r>
          </w:p>
        </w:tc>
        <w:tc>
          <w:tcPr>
            <w:tcW w:type="dxa" w:w="25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0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«مرور سلامت حساب»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‎NRR/GRR‎</w:t>
            </w:r>
            <w:r>
              <w:rPr>
                <w:rFonts w:ascii="Arial" w:hAnsi="Arial" w:cs="Arial" w:eastAsia="Arial"/>
                <w:b w:val="0"/>
                <w:sz w:val="18"/>
                <w:rtl/>
              </w:rPr>
              <w:t>» بهتر اما «رضایت»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«برنامه حساب»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‎CRM‎</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«پیش‌بینی تمدید»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«نرخ تمدید»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«درآمد توسعه»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«ریسک و وصول»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«هماهنگی تعهدات»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داده یا سند لازم برای «مدیریت </w:t>
            </w:r>
            <w:r>
              <w:rPr>
                <w:rFonts w:ascii="Arial" w:hAnsi="Arial" w:cs="Arial" w:eastAsia="Arial"/>
                <w:b w:val="0"/>
                <w:sz w:val="18"/>
                <w:rtl w:val="0"/>
              </w:rPr>
              <w:t>‎escalation‎</w:t>
            </w:r>
            <w:r>
              <w:rPr>
                <w:rFonts w:ascii="Arial" w:hAnsi="Arial" w:cs="Arial" w:eastAsia="Arial"/>
                <w:b w:val="0"/>
                <w:sz w:val="18"/>
                <w:rtl/>
              </w:rPr>
              <w:t>»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مشتری، فروش، محصول، پشتیبانی و مالی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باید بدون اختیار مستقیم، تیم داخلی و مشتری را هم‌زمان همسو کرد و میان رضایت کوتاه‌مدت و سودآوری قرارداد تعادل ساخت،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«مرور سلامت حساب»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«هماهنگی تعهدات»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برای افت «نرخ تمدید»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‎NRR/GRR‎</w:t>
      </w:r>
      <w:r>
        <w:rPr>
          <w:rFonts w:ascii="Arial" w:hAnsi="Arial" w:cs="Arial" w:eastAsia="Arial"/>
          <w:b w:val="0"/>
          <w:sz w:val="22"/>
          <w:rtl/>
        </w:rPr>
        <w:t xml:space="preserve">» بهتر اما «رضایت»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«برنامه حساب»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مدیر حساب مشتری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‎Salesforce State of Sales 2026‎</w:t>
      </w:r>
      <w:r>
        <w:rPr>
          <w:rFonts w:ascii="Arial" w:hAnsi="Arial" w:cs="Arial" w:eastAsia="Arial"/>
          <w:b w:val="0"/>
          <w:sz w:val="22"/>
          <w:rtl/>
        </w:rPr>
        <w:t xml:space="preserve">؛ پیمایش ۴٬۰۵۰ حرفه‌ای فروش — </w:t>
      </w:r>
      <w:r>
        <w:rPr>
          <w:rFonts w:ascii="Arial" w:hAnsi="Arial" w:cs="Arial" w:eastAsia="Arial"/>
          <w:b w:val="0"/>
          <w:sz w:val="22"/>
          <w:rtl w:val="0"/>
        </w:rPr>
        <w:t>‎https://www.salesforce.com/news/stories/state-of-sales-report-announcement-2026/‎</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‎Salesforce State of Sales‎</w:t>
      </w:r>
      <w:r>
        <w:rPr>
          <w:rFonts w:ascii="Arial" w:hAnsi="Arial" w:cs="Arial" w:eastAsia="Arial"/>
          <w:b w:val="0"/>
          <w:sz w:val="22"/>
          <w:rtl/>
        </w:rPr>
        <w:t xml:space="preserve">؛ اعتماد به داده و فشار اداری — </w:t>
      </w:r>
      <w:r>
        <w:rPr>
          <w:rFonts w:ascii="Arial" w:hAnsi="Arial" w:cs="Arial" w:eastAsia="Arial"/>
          <w:b w:val="0"/>
          <w:sz w:val="22"/>
          <w:rtl w:val="0"/>
        </w:rPr>
        <w:t>‎https://www.salesforce.com/ap/resources/research-reports/state-of-sales/‎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پیمایش بیش از ۵٬۰۰۰ کارگر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94"/>
        <w:gridCol w:w="1940"/>
        <w:gridCol w:w="1940"/>
        <w:gridCol w:w="1728"/>
        <w:gridCol w:w="1938"/>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72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3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موفقیت مشتری / </w:t>
            </w:r>
            <w:r>
              <w:rPr>
                <w:rFonts w:ascii="Arial" w:hAnsi="Arial" w:cs="Arial" w:eastAsia="Arial"/>
                <w:b w:val="0"/>
                <w:sz w:val="18"/>
                <w:rtl w:val="0"/>
              </w:rPr>
              <w:t>‎Customer Success Manager‎</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«مدیر موفقیت مشتری» این اشتراک مشخصاً با تمرکز بر حفظ و توسعه رابطه پس از فروش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مدیر موفقیت مشتری عمدتاً مالک «برنامه حساب، تمدید/توسعه و سلامت رابطه» است.</w:t>
            </w:r>
          </w:p>
        </w:tc>
        <w:tc>
          <w:tcPr>
            <w:tcW w:type="dxa" w:w="17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 و تیم تحویل</w:t>
            </w:r>
          </w:p>
        </w:tc>
        <w:tc>
          <w:tcPr>
            <w:tcW w:type="dxa" w:w="19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گزارش سلامت حساب، قرارداد و ارائه اجرایی؛ مسیر نزدیک: </w:t>
            </w:r>
            <w:r>
              <w:rPr>
                <w:rFonts w:ascii="Arial" w:hAnsi="Arial" w:cs="Arial" w:eastAsia="Arial"/>
                <w:b w:val="0"/>
                <w:sz w:val="18"/>
                <w:rtl w:val="0"/>
              </w:rPr>
              <w:t>‎CRM‎</w:t>
            </w:r>
            <w:r>
              <w:rPr>
                <w:rFonts w:ascii="Arial" w:hAnsi="Arial" w:cs="Arial" w:eastAsia="Arial"/>
                <w:b w:val="0"/>
                <w:sz w:val="18"/>
                <w:rtl/>
              </w:rPr>
              <w:t>، قرارداد و گزارش سلامت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«فروش سازمانی» این اشتراک مشخصاً با تمرکز بر توسعه رابطه و فرصت تجاری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فروش سازمانی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c>
          <w:tcPr>
            <w:tcW w:type="dxa" w:w="17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مشتری/شریک و تیم تحویل</w:t>
            </w:r>
          </w:p>
        </w:tc>
        <w:tc>
          <w:tcPr>
            <w:tcW w:type="dxa" w:w="19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گزارش سلامت حساب، قرارداد و ارائه اجرایی؛ مسیر نزدیک: </w:t>
            </w:r>
            <w:r>
              <w:rPr>
                <w:rFonts w:ascii="Arial" w:hAnsi="Arial" w:cs="Arial" w:eastAsia="Arial"/>
                <w:b w:val="0"/>
                <w:sz w:val="18"/>
                <w:rtl w:val="0"/>
              </w:rPr>
              <w:t>‎CRM‎</w:t>
            </w:r>
            <w:r>
              <w:rPr>
                <w:rFonts w:ascii="Arial" w:hAnsi="Arial" w:cs="Arial" w:eastAsia="Arial"/>
                <w:b w:val="0"/>
                <w:sz w:val="18"/>
                <w:rtl/>
              </w:rPr>
              <w:t>، ارائه و قرارداد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مشتریان کلیدی / </w:t>
            </w:r>
            <w:r>
              <w:rPr>
                <w:rFonts w:ascii="Arial" w:hAnsi="Arial" w:cs="Arial" w:eastAsia="Arial"/>
                <w:b w:val="0"/>
                <w:sz w:val="18"/>
                <w:rtl w:val="0"/>
              </w:rPr>
              <w:t>‎Key Account Manager‎</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«مدیر مشتریان کلیدی» این اشتراک مشخصاً با تمرکز بر حفظ و توسعه رابطه پس از فروش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مدیر مشتریان کلیدی عمدتاً مالک «برنامه حساب، تمدید/توسعه و سلامت رابطه» است.</w:t>
            </w:r>
          </w:p>
        </w:tc>
        <w:tc>
          <w:tcPr>
            <w:tcW w:type="dxa" w:w="17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 و تیم تحویل</w:t>
            </w:r>
          </w:p>
        </w:tc>
        <w:tc>
          <w:tcPr>
            <w:tcW w:type="dxa" w:w="19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گزارش سلامت حساب، قرارداد و ارائه اجرایی؛ مسیر نزدیک: </w:t>
            </w:r>
            <w:r>
              <w:rPr>
                <w:rFonts w:ascii="Arial" w:hAnsi="Arial" w:cs="Arial" w:eastAsia="Arial"/>
                <w:b w:val="0"/>
                <w:sz w:val="18"/>
                <w:rtl w:val="0"/>
              </w:rPr>
              <w:t>‎CRM‎</w:t>
            </w:r>
            <w:r>
              <w:rPr>
                <w:rFonts w:ascii="Arial" w:hAnsi="Arial" w:cs="Arial" w:eastAsia="Arial"/>
                <w:b w:val="0"/>
                <w:sz w:val="18"/>
                <w:rtl/>
              </w:rPr>
              <w:t>، قرارداد و گزارش سلامت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کسب‌وکار / </w:t>
            </w:r>
            <w:r>
              <w:rPr>
                <w:rFonts w:ascii="Arial" w:hAnsi="Arial" w:cs="Arial" w:eastAsia="Arial"/>
                <w:b w:val="0"/>
                <w:sz w:val="18"/>
                <w:rtl w:val="0"/>
              </w:rPr>
              <w:t>‎Business Development‎</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«توسعه کسب‌وکار» این اشتراک مشخصاً با تمرکز بر ساخت فرصت رشد از بازار یا شریک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توسعه کسب‌وکار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c>
          <w:tcPr>
            <w:tcW w:type="dxa" w:w="17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شریک، مدیریت و تیم محصول/مالی</w:t>
            </w:r>
          </w:p>
        </w:tc>
        <w:tc>
          <w:tcPr>
            <w:tcW w:type="dxa" w:w="19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گزارش سلامت حساب، قرارداد و ارائه اجرایی؛ مسیر نزدیک: پژوهش، </w:t>
            </w:r>
            <w:r>
              <w:rPr>
                <w:rFonts w:ascii="Arial" w:hAnsi="Arial" w:cs="Arial" w:eastAsia="Arial"/>
                <w:b w:val="0"/>
                <w:sz w:val="18"/>
                <w:rtl w:val="0"/>
              </w:rPr>
              <w:t>‎CRM‎</w:t>
            </w:r>
            <w:r>
              <w:rPr>
                <w:rFonts w:ascii="Arial" w:hAnsi="Arial" w:cs="Arial" w:eastAsia="Arial"/>
                <w:b w:val="0"/>
                <w:sz w:val="18"/>
                <w:rtl/>
              </w:rPr>
              <w:t xml:space="preserve"> و مدل مالی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سرپرست پشتیبانی / </w:t>
            </w:r>
            <w:r>
              <w:rPr>
                <w:rFonts w:ascii="Arial" w:hAnsi="Arial" w:cs="Arial" w:eastAsia="Arial"/>
                <w:b w:val="0"/>
                <w:sz w:val="18"/>
                <w:rtl w:val="0"/>
              </w:rPr>
              <w:t>‎Support Lead‎</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«سرپرست پشتیبانی» این اشتراک مشخصاً با تمرکز بر حفظ کیفیت رابطه و حل مسئله مشتری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سرپرست پشتیبانی عمدتاً مالک «حل مورد، سلامت/رضایت و بهبود خدمت» است.</w:t>
            </w:r>
          </w:p>
        </w:tc>
        <w:tc>
          <w:tcPr>
            <w:tcW w:type="dxa" w:w="17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 محصول و عملیات</w:t>
            </w:r>
          </w:p>
        </w:tc>
        <w:tc>
          <w:tcPr>
            <w:tcW w:type="dxa" w:w="19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گزارش سلامت حساب، قرارداد و ارائه اجرایی؛ مسیر نزدیک: تیکتینگ/</w:t>
            </w:r>
            <w:r>
              <w:rPr>
                <w:rFonts w:ascii="Arial" w:hAnsi="Arial" w:cs="Arial" w:eastAsia="Arial"/>
                <w:b w:val="0"/>
                <w:sz w:val="18"/>
                <w:rtl w:val="0"/>
              </w:rPr>
              <w:t>‎CRM‎</w:t>
            </w:r>
            <w:r>
              <w:rPr>
                <w:rFonts w:ascii="Arial" w:hAnsi="Arial" w:cs="Arial" w:eastAsia="Arial"/>
                <w:b w:val="0"/>
                <w:sz w:val="18"/>
                <w:rtl/>
              </w:rPr>
              <w:t xml:space="preserve"> و </w:t>
            </w:r>
            <w:r>
              <w:rPr>
                <w:rFonts w:ascii="Arial" w:hAnsi="Arial" w:cs="Arial" w:eastAsia="Arial"/>
                <w:b w:val="0"/>
                <w:sz w:val="18"/>
                <w:rtl w:val="0"/>
              </w:rPr>
              <w:t>‎knowledge base‎</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«مشارکت‌ها» این اشتراک مشخصاً با تمرکز بر ساخت فرصت رشد از بازار یا شریک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مشارکت‌ها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c>
          <w:tcPr>
            <w:tcW w:type="dxa" w:w="17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شریک، مدیریت و تیم محصول/مالی</w:t>
            </w:r>
          </w:p>
        </w:tc>
        <w:tc>
          <w:tcPr>
            <w:tcW w:type="dxa" w:w="19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گزارش سلامت حساب، قرارداد و ارائه اجرایی؛ مسیر نزدیک: پژوهش، </w:t>
            </w:r>
            <w:r>
              <w:rPr>
                <w:rFonts w:ascii="Arial" w:hAnsi="Arial" w:cs="Arial" w:eastAsia="Arial"/>
                <w:b w:val="0"/>
                <w:sz w:val="18"/>
                <w:rtl w:val="0"/>
              </w:rPr>
              <w:t>‎CRM‎</w:t>
            </w:r>
            <w:r>
              <w:rPr>
                <w:rFonts w:ascii="Arial" w:hAnsi="Arial" w:cs="Arial" w:eastAsia="Arial"/>
                <w:b w:val="0"/>
                <w:sz w:val="18"/>
                <w:rtl/>
              </w:rPr>
              <w:t xml:space="preserve"> و مدل مالی</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69"/>
        <w:gridCol w:w="1893"/>
        <w:gridCol w:w="1893"/>
        <w:gridCol w:w="1893"/>
        <w:gridCol w:w="1892"/>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6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89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89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89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89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موفقیت مشتری / </w:t>
            </w:r>
            <w:r>
              <w:rPr>
                <w:rFonts w:ascii="Arial" w:hAnsi="Arial" w:cs="Arial" w:eastAsia="Arial"/>
                <w:b w:val="0"/>
                <w:sz w:val="18"/>
                <w:rtl w:val="0"/>
              </w:rPr>
              <w:t>‎Customer Success Manager‎</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تعامل بسیار زیاد؛ تحلیل متوسط</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نیازمند شاهد مدیریت مشتری</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مسئولیت نتیجه بدون اختیار مستقیم بر تیم تحویل؛ مسیر نزدیک: انتظار متعارض مشتری و تحویل</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رهبری حساب/موفقیت مشتری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ورود با شاهد فروش/رابطه</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مسئولیت نتیجه بدون اختیار مستقیم بر تیم تحویل؛ مسیر نزدیک: سهمیه، ردشدن و وابستگی بیرونی</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فروش یا مالکیت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مشتریان کلیدی / </w:t>
            </w:r>
            <w:r>
              <w:rPr>
                <w:rFonts w:ascii="Arial" w:hAnsi="Arial" w:cs="Arial" w:eastAsia="Arial"/>
                <w:b w:val="0"/>
                <w:sz w:val="18"/>
                <w:rtl w:val="0"/>
              </w:rPr>
              <w:t>‎Key Account Manager‎</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تعامل بسیار زیاد؛ تحلیل متوسط</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نیازمند شاهد مدیریت مشتری</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مسئولیت نتیجه بدون اختیار مستقیم بر تیم تحویل؛ مسیر نزدیک: انتظار متعارض مشتری و تحویل</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رهبری حساب/موفقیت مشتری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کسب‌وکار / </w:t>
            </w:r>
            <w:r>
              <w:rPr>
                <w:rFonts w:ascii="Arial" w:hAnsi="Arial" w:cs="Arial" w:eastAsia="Arial"/>
                <w:b w:val="0"/>
                <w:sz w:val="18"/>
                <w:rtl w:val="0"/>
              </w:rPr>
              <w:t>‎Business Development‎</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فرصت/مذاکره</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مسئولیت نتیجه بدون اختیار مستقیم بر تیم تحویل؛ مسیر نزدیک: ابهام و چرخه طولانی</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مدیریت </w:t>
            </w:r>
            <w:r>
              <w:rPr>
                <w:rFonts w:ascii="Arial" w:hAnsi="Arial" w:cs="Arial" w:eastAsia="Arial"/>
                <w:b w:val="0"/>
                <w:sz w:val="18"/>
                <w:rtl w:val="0"/>
              </w:rPr>
              <w:t>‎BD/Partnerships‎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سرپرست پشتیبانی / </w:t>
            </w:r>
            <w:r>
              <w:rPr>
                <w:rFonts w:ascii="Arial" w:hAnsi="Arial" w:cs="Arial" w:eastAsia="Arial"/>
                <w:b w:val="0"/>
                <w:sz w:val="18"/>
                <w:rtl w:val="0"/>
              </w:rPr>
              <w:t>‎Support Lead‎</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تعامل زیاد؛ آمار متوسط</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ورود با تجربه خدمت ممکن</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مسئولیت نتیجه بدون اختیار مستقیم بر تیم تحویل؛ مسیر نزدیک: حجم مورد و کار عاطفی</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رهبری </w:t>
            </w:r>
            <w:r>
              <w:rPr>
                <w:rFonts w:ascii="Arial" w:hAnsi="Arial" w:cs="Arial" w:eastAsia="Arial"/>
                <w:b w:val="0"/>
                <w:sz w:val="18"/>
                <w:rtl w:val="0"/>
              </w:rPr>
              <w:t>‎CX/Support‎</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فرصت/مذاکره</w:t>
            </w:r>
          </w:p>
        </w:tc>
        <w:tc>
          <w:tcPr>
            <w:tcW w:type="dxa" w:w="1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مسئولیت نتیجه بدون اختیار مستقیم بر تیم تحویل؛ مسیر نزدیک: ابهام و چرخه طولانی</w:t>
            </w:r>
          </w:p>
        </w:tc>
        <w:tc>
          <w:tcPr>
            <w:tcW w:type="dxa" w:w="18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مدیریت </w:t>
            </w:r>
            <w:r>
              <w:rPr>
                <w:rFonts w:ascii="Arial" w:hAnsi="Arial" w:cs="Arial" w:eastAsia="Arial"/>
                <w:b w:val="0"/>
                <w:sz w:val="18"/>
                <w:rtl w:val="0"/>
              </w:rPr>
              <w:t>‎BD/Partnerships‎</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874"/>
        <w:gridCol w:w="3383"/>
        <w:gridCol w:w="3383"/>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8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3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3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8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موفقیت مشتری / </w:t>
            </w:r>
            <w:r>
              <w:rPr>
                <w:rFonts w:ascii="Arial" w:hAnsi="Arial" w:cs="Arial" w:eastAsia="Arial"/>
                <w:b w:val="0"/>
                <w:sz w:val="18"/>
                <w:rtl w:val="0"/>
              </w:rPr>
              <w:t>‎Customer Success Manager‎</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آماده‌سازی و هشدار کمک می‌گیرد؛ رابطه انسانی</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«مدیر موفقیت مشتری»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8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‎prospecting‎</w:t>
            </w:r>
            <w:r>
              <w:rPr>
                <w:rFonts w:ascii="Arial" w:hAnsi="Arial" w:cs="Arial" w:eastAsia="Arial"/>
                <w:b w:val="0"/>
                <w:sz w:val="18"/>
                <w:rtl/>
              </w:rPr>
              <w:t xml:space="preserve"> و یادداشت کمک می‌گیرد؛ معامله انسانی</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«فروش سازمانی»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8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مشتریان کلیدی / </w:t>
            </w:r>
            <w:r>
              <w:rPr>
                <w:rFonts w:ascii="Arial" w:hAnsi="Arial" w:cs="Arial" w:eastAsia="Arial"/>
                <w:b w:val="0"/>
                <w:sz w:val="18"/>
                <w:rtl w:val="0"/>
              </w:rPr>
              <w:t>‎Key Account Manager‎</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آماده‌سازی و هشدار کمک می‌گیرد؛ رابطه انسانی</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«مدیر مشتریان کلیدی»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8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توسعه کسب‌وکار / </w:t>
            </w:r>
            <w:r>
              <w:rPr>
                <w:rFonts w:ascii="Arial" w:hAnsi="Arial" w:cs="Arial" w:eastAsia="Arial"/>
                <w:b w:val="0"/>
                <w:sz w:val="18"/>
                <w:rtl w:val="0"/>
              </w:rPr>
              <w:t>‎Business Development‎</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پژوهش سریع‌تر؛ انتخاب شریک و معامله انسانی</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«توسعه کسب‌وکار»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8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سرپرست پشتیبانی / </w:t>
            </w:r>
            <w:r>
              <w:rPr>
                <w:rFonts w:ascii="Arial" w:hAnsi="Arial" w:cs="Arial" w:eastAsia="Arial"/>
                <w:b w:val="0"/>
                <w:sz w:val="18"/>
                <w:rtl w:val="0"/>
              </w:rPr>
              <w:t>‎Support Lead‎</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خلاصه و </w:t>
            </w:r>
            <w:r>
              <w:rPr>
                <w:rFonts w:ascii="Arial" w:hAnsi="Arial" w:cs="Arial" w:eastAsia="Arial"/>
                <w:b w:val="0"/>
                <w:sz w:val="18"/>
                <w:rtl w:val="0"/>
              </w:rPr>
              <w:t>‎routing‎</w:t>
            </w:r>
            <w:r>
              <w:rPr>
                <w:rFonts w:ascii="Arial" w:hAnsi="Arial" w:cs="Arial" w:eastAsia="Arial"/>
                <w:b w:val="0"/>
                <w:sz w:val="18"/>
                <w:rtl/>
              </w:rPr>
              <w:t xml:space="preserve"> خودکار؛ همدلی و </w:t>
            </w:r>
            <w:r>
              <w:rPr>
                <w:rFonts w:ascii="Arial" w:hAnsi="Arial" w:cs="Arial" w:eastAsia="Arial"/>
                <w:b w:val="0"/>
                <w:sz w:val="18"/>
                <w:rtl w:val="0"/>
              </w:rPr>
              <w:t>‎escalation‎</w:t>
            </w:r>
            <w:r>
              <w:rPr>
                <w:rFonts w:ascii="Arial" w:hAnsi="Arial" w:cs="Arial" w:eastAsia="Arial"/>
                <w:b w:val="0"/>
                <w:sz w:val="18"/>
                <w:rtl/>
              </w:rPr>
              <w:t xml:space="preserve"> باقی</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«سرپرست پشتیبانی»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8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پژوهش سریع‌تر؛ انتخاب شریک و معامله انسانی</w:t>
            </w:r>
          </w:p>
        </w:tc>
        <w:tc>
          <w:tcPr>
            <w:tcW w:type="dxa" w:w="33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«مشارکت‌ها»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مرور سلامت حساب، هماهنگی تعهدات، مدیریت </w:t>
      </w:r>
      <w:r>
        <w:rPr>
          <w:rFonts w:ascii="Arial" w:hAnsi="Arial" w:cs="Arial" w:eastAsia="Arial"/>
          <w:b w:val="0"/>
          <w:sz w:val="22"/>
          <w:rtl w:val="0"/>
        </w:rPr>
        <w:t>‎escalation‎</w:t>
      </w:r>
      <w:r>
        <w:rPr>
          <w:rFonts w:ascii="Arial" w:hAnsi="Arial" w:cs="Arial" w:eastAsia="Arial"/>
          <w:b w:val="0"/>
          <w:sz w:val="22"/>
          <w:rtl/>
        </w:rPr>
        <w:t xml:space="preserve">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باید بدون اختیار مستقیم، تیم داخلی و مشتری را هم‌زمان همسو کرد و میان رضایت کوتاه‌مدت و سودآوری قرارداد تعادل ساخت.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آزمایش کم‌ریسک: ظرف دو هفته یک سناریوی کوچک بسازید، برنامه حساب و پیش‌بینی تمدید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برنامه حساب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نرخ تمدید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ریسک ریزش، استفاده کم، انتظارات مبهم و فرصت توسعه از دست‌رفته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هماهنگی تعهدات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مدیر حساب مشتری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حساب مشتری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‎Account Manager‎</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رابطه، رضایت، تمدید و رشد درآمد یک سبد مشتری را پس از فروش اولیه مالک می‌شود.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باید بدون اختیار مستقیم، تیم داخلی و مشتری را هم‌زمان همسو کرد و میان رضایت کوتاه‌مدت و سودآوری قرارداد تعادل ساخت.</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مذاکره، فهم قرارداد، تحلیل سلامت حساب، ارائه اجرایی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‎Customer Success Platform‎</w:t>
            </w:r>
            <w:r>
              <w:rPr>
                <w:rFonts w:ascii="Arial" w:hAnsi="Arial" w:cs="Arial" w:eastAsia="Arial"/>
                <w:b w:val="0"/>
                <w:sz w:val="18"/>
                <w:rtl/>
              </w:rPr>
              <w:t xml:space="preserve">، </w:t>
            </w:r>
            <w:r>
              <w:rPr>
                <w:rFonts w:ascii="Arial" w:hAnsi="Arial" w:cs="Arial" w:eastAsia="Arial"/>
                <w:b w:val="0"/>
                <w:sz w:val="18"/>
                <w:rtl w:val="0"/>
              </w:rPr>
              <w:t>‎Excel/BI‎</w:t>
            </w:r>
            <w:r>
              <w:rPr>
                <w:rFonts w:ascii="Arial" w:hAnsi="Arial" w:cs="Arial" w:eastAsia="Arial"/>
                <w:b w:val="0"/>
                <w:sz w:val="18"/>
                <w:rtl/>
              </w:rPr>
              <w:t xml:space="preserve">، </w:t>
            </w:r>
            <w:r>
              <w:rPr>
                <w:rFonts w:ascii="Arial" w:hAnsi="Arial" w:cs="Arial" w:eastAsia="Arial"/>
                <w:b w:val="0"/>
                <w:sz w:val="18"/>
                <w:rtl w:val="0"/>
              </w:rPr>
              <w:t>‎Ticketing‎</w:t>
            </w:r>
            <w:r>
              <w:rPr>
                <w:rFonts w:ascii="Arial" w:hAnsi="Arial" w:cs="Arial" w:eastAsia="Arial"/>
                <w:b w:val="0"/>
                <w:sz w:val="18"/>
                <w:rtl/>
              </w:rPr>
              <w:t>، ابزار قرارداد و جلسه</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10"/>
        <w:gridCol w:w="5200"/>
        <w:gridCol w:w="3250"/>
      </w:tblGrid>
      <w:tr>
        <w:trPr>
          <w:cantSplit w:val="true"/>
          <w:tblHeader w:val="true"/>
        </w:trPr>
        <w:tc>
          <w:tcPr>
            <w:tcW w:type="dxa" w:w="9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2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2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باید بدون اختیار مستقیم، تیم داخلی و مشتری را هم‌زمان همسو کرد و میان رضایت کوتاه‌مدت و سودآوری قرارداد تعادل ساخت.</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فصل هدف/تمدید، مذاکره حساس یا شرکت با </w:t>
            </w:r>
            <w:r>
              <w:rPr>
                <w:rFonts w:ascii="Arial" w:hAnsi="Arial" w:cs="Arial" w:eastAsia="Arial"/>
                <w:b w:val="0"/>
                <w:sz w:val="18"/>
                <w:rtl w:val="0"/>
              </w:rPr>
              <w:t>‎handoff‎</w:t>
            </w:r>
            <w:r>
              <w:rPr>
                <w:rFonts w:ascii="Arial" w:hAnsi="Arial" w:cs="Arial" w:eastAsia="Arial"/>
                <w:b w:val="0"/>
                <w:sz w:val="18"/>
                <w:rtl/>
              </w:rPr>
              <w:t xml:space="preserve"> مبهم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مرور سلامت حساب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نمونه‌ای بگویید که هماهنگی تعهدات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برای بهبود نرخ تمدید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‎NRR/GRR‎</w:t>
      </w:r>
      <w:r>
        <w:rPr>
          <w:rFonts w:ascii="Arial" w:hAnsi="Arial" w:cs="Arial" w:eastAsia="Arial"/>
          <w:b w:val="0"/>
          <w:sz w:val="22"/>
          <w:rtl/>
        </w:rPr>
        <w:t xml:space="preserve"> بهتر ولی رضایت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برنامه حساب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792"/>
        <w:gridCol w:w="1044"/>
        <w:gridCol w:w="3403"/>
        <w:gridCol w:w="3401"/>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79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1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4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40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7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موفقیت مشتری</w:t>
            </w:r>
          </w:p>
        </w:tc>
        <w:tc>
          <w:tcPr>
            <w:tcW w:type="dxa" w:w="1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‎Customer Success Manager‎</w:t>
            </w:r>
          </w:p>
        </w:tc>
        <w:tc>
          <w:tcPr>
            <w:tcW w:type="dxa" w:w="34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«مدیر موفقیت مشتری» این اشتراک مشخصاً با تمرکز بر حفظ و توسعه رابطه پس از فروش دیده می‌شود.</w:t>
            </w:r>
          </w:p>
        </w:tc>
        <w:tc>
          <w:tcPr>
            <w:tcW w:type="dxa" w:w="34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مدیر موفقیت مشتری عمدتاً مالک «برنامه حساب، تمدید/توسعه و سلامت رابطه»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7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سازمانی</w:t>
            </w:r>
          </w:p>
        </w:tc>
        <w:tc>
          <w:tcPr>
            <w:tcW w:type="dxa" w:w="1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‎B2B Sales‎</w:t>
            </w:r>
          </w:p>
        </w:tc>
        <w:tc>
          <w:tcPr>
            <w:tcW w:type="dxa" w:w="34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«فروش سازمانی» این اشتراک مشخصاً با تمرکز بر توسعه رابطه و فرصت تجاری دیده می‌شود.</w:t>
            </w:r>
          </w:p>
        </w:tc>
        <w:tc>
          <w:tcPr>
            <w:tcW w:type="dxa" w:w="34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فروش سازمانی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7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مشتریان کلیدی</w:t>
            </w:r>
          </w:p>
        </w:tc>
        <w:tc>
          <w:tcPr>
            <w:tcW w:type="dxa" w:w="1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‎Key Account Manager‎</w:t>
            </w:r>
          </w:p>
        </w:tc>
        <w:tc>
          <w:tcPr>
            <w:tcW w:type="dxa" w:w="34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«مدیر مشتریان کلیدی» این اشتراک مشخصاً با تمرکز بر حفظ و توسعه رابطه پس از فروش دیده می‌شود.</w:t>
            </w:r>
          </w:p>
        </w:tc>
        <w:tc>
          <w:tcPr>
            <w:tcW w:type="dxa" w:w="34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مدیر مشتریان کلیدی عمدتاً مالک «برنامه حساب، تمدید/توسعه و سلامت رابطه»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7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توسعه کسب‌وکار</w:t>
            </w:r>
          </w:p>
        </w:tc>
        <w:tc>
          <w:tcPr>
            <w:tcW w:type="dxa" w:w="1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‎Business Development‎</w:t>
            </w:r>
          </w:p>
        </w:tc>
        <w:tc>
          <w:tcPr>
            <w:tcW w:type="dxa" w:w="34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«توسعه کسب‌وکار» این اشتراک مشخصاً با تمرکز بر ساخت فرصت رشد از بازار یا شریک دیده می‌شود.</w:t>
            </w:r>
          </w:p>
        </w:tc>
        <w:tc>
          <w:tcPr>
            <w:tcW w:type="dxa" w:w="34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توسعه کسب‌وکار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7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سرپرست پشتیبانی</w:t>
            </w:r>
          </w:p>
        </w:tc>
        <w:tc>
          <w:tcPr>
            <w:tcW w:type="dxa" w:w="1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‎Support Lead‎</w:t>
            </w:r>
          </w:p>
        </w:tc>
        <w:tc>
          <w:tcPr>
            <w:tcW w:type="dxa" w:w="34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«سرپرست پشتیبانی» این اشتراک مشخصاً با تمرکز بر حفظ کیفیت رابطه و حل مسئله مشتری دیده می‌شود.</w:t>
            </w:r>
          </w:p>
        </w:tc>
        <w:tc>
          <w:tcPr>
            <w:tcW w:type="dxa" w:w="34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سرپرست پشتیبانی عمدتاً مالک «حل مورد، سلامت/رضایت و بهبود خدمت»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79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مشارکت‌ها</w:t>
            </w:r>
          </w:p>
        </w:tc>
        <w:tc>
          <w:tcPr>
            <w:tcW w:type="dxa" w:w="1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‎Partnerships‎</w:t>
            </w:r>
          </w:p>
        </w:tc>
        <w:tc>
          <w:tcPr>
            <w:tcW w:type="dxa" w:w="34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رابطه مشتری، تحقق ارزش و درآمد تکرارشونده و هماهنگی با مشتری، فروش، محصول، پشتیبانی و مالی تکیه دارند؛ در «مشارکت‌ها» این اشتراک مشخصاً با تمرکز بر ساخت فرصت رشد از بازار یا شریک دیده می‌شود.</w:t>
            </w:r>
          </w:p>
        </w:tc>
        <w:tc>
          <w:tcPr>
            <w:tcW w:type="dxa" w:w="34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حساب مشتری مالک «برنامه حساب، پیش‌بینی تمدید، </w:t>
            </w:r>
            <w:r>
              <w:rPr>
                <w:rFonts w:ascii="Arial" w:hAnsi="Arial" w:cs="Arial" w:eastAsia="Arial"/>
                <w:b w:val="0"/>
                <w:sz w:val="18"/>
                <w:rtl w:val="0"/>
              </w:rPr>
              <w:t>‎QBR‎</w:t>
            </w:r>
            <w:r>
              <w:rPr>
                <w:rFonts w:ascii="Arial" w:hAnsi="Arial" w:cs="Arial" w:eastAsia="Arial"/>
                <w:b w:val="0"/>
                <w:sz w:val="18"/>
                <w:rtl/>
              </w:rPr>
              <w:t xml:space="preserve"> و نقشه ریسک/توسعه» است؛ مشارکت‌ها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Account Manager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‎Account-manager titles span agency‎</w:t>
            </w:r>
            <w:r>
              <w:rPr>
                <w:rFonts w:ascii="Arial" w:hAnsi="Arial" w:cs="Arial" w:eastAsia="Arial"/>
                <w:b w:val="0"/>
                <w:sz w:val="18"/>
                <w:rtl/>
              </w:rPr>
              <w:t xml:space="preserve">, </w:t>
            </w:r>
            <w:r>
              <w:rPr>
                <w:rFonts w:ascii="Arial" w:hAnsi="Arial" w:cs="Arial" w:eastAsia="Arial"/>
                <w:b w:val="0"/>
                <w:sz w:val="18"/>
                <w:rtl w:val="0"/>
              </w:rPr>
              <w:t>‎SaaS‎</w:t>
            </w:r>
            <w:r>
              <w:rPr>
                <w:rFonts w:ascii="Arial" w:hAnsi="Arial" w:cs="Arial" w:eastAsia="Arial"/>
                <w:b w:val="0"/>
                <w:sz w:val="18"/>
                <w:rtl/>
              </w:rPr>
              <w:t xml:space="preserve">, </w:t>
            </w:r>
            <w:r>
              <w:rPr>
                <w:rFonts w:ascii="Arial" w:hAnsi="Arial" w:cs="Arial" w:eastAsia="Arial"/>
                <w:b w:val="0"/>
                <w:sz w:val="18"/>
                <w:rtl w:val="0"/>
              </w:rPr>
              <w:t>‎sales‎</w:t>
            </w:r>
            <w:r>
              <w:rPr>
                <w:rFonts w:ascii="Arial" w:hAnsi="Arial" w:cs="Arial" w:eastAsia="Arial"/>
                <w:b w:val="0"/>
                <w:sz w:val="18"/>
                <w:rtl/>
              </w:rPr>
              <w:t xml:space="preserve">, </w:t>
            </w:r>
            <w:r>
              <w:rPr>
                <w:rFonts w:ascii="Arial" w:hAnsi="Arial" w:cs="Arial" w:eastAsia="Arial"/>
                <w:b w:val="0"/>
                <w:sz w:val="18"/>
                <w:rtl w:val="0"/>
              </w:rPr>
              <w:t>‎cloud‎</w:t>
            </w:r>
            <w:r>
              <w:rPr>
                <w:rFonts w:ascii="Arial" w:hAnsi="Arial" w:cs="Arial" w:eastAsia="Arial"/>
                <w:b w:val="0"/>
                <w:sz w:val="18"/>
                <w:rtl/>
              </w:rPr>
              <w:t xml:space="preserve">, </w:t>
            </w:r>
            <w:r>
              <w:rPr>
                <w:rFonts w:ascii="Arial" w:hAnsi="Arial" w:cs="Arial" w:eastAsia="Arial"/>
                <w:b w:val="0"/>
                <w:sz w:val="18"/>
                <w:rtl w:val="0"/>
              </w:rPr>
              <w:t>‎and key-account contexts‎</w:t>
            </w:r>
            <w:r>
              <w:rPr>
                <w:rFonts w:ascii="Arial" w:hAnsi="Arial" w:cs="Arial" w:eastAsia="Arial"/>
                <w:b w:val="0"/>
                <w:sz w:val="18"/>
                <w:rtl/>
              </w:rPr>
              <w:t xml:space="preserve">; </w:t>
            </w:r>
            <w:r>
              <w:rPr>
                <w:rFonts w:ascii="Arial" w:hAnsi="Arial" w:cs="Arial" w:eastAsia="Arial"/>
                <w:b w:val="0"/>
                <w:sz w:val="18"/>
                <w:rtl w:val="0"/>
              </w:rPr>
              <w:t>‎classify industry and commercial ownership before comparison.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41-3091.00‎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11-2022.00‎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Account Manager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‎Account-manager titles span agency‎</w:t>
            </w:r>
            <w:r>
              <w:rPr>
                <w:rFonts w:ascii="Arial" w:hAnsi="Arial" w:cs="Arial" w:eastAsia="Arial"/>
                <w:b w:val="0"/>
                <w:sz w:val="18"/>
                <w:rtl/>
              </w:rPr>
              <w:t xml:space="preserve">, </w:t>
            </w:r>
            <w:r>
              <w:rPr>
                <w:rFonts w:ascii="Arial" w:hAnsi="Arial" w:cs="Arial" w:eastAsia="Arial"/>
                <w:b w:val="0"/>
                <w:sz w:val="18"/>
                <w:rtl w:val="0"/>
              </w:rPr>
              <w:t>‎SaaS‎</w:t>
            </w:r>
            <w:r>
              <w:rPr>
                <w:rFonts w:ascii="Arial" w:hAnsi="Arial" w:cs="Arial" w:eastAsia="Arial"/>
                <w:b w:val="0"/>
                <w:sz w:val="18"/>
                <w:rtl/>
              </w:rPr>
              <w:t xml:space="preserve">, </w:t>
            </w:r>
            <w:r>
              <w:rPr>
                <w:rFonts w:ascii="Arial" w:hAnsi="Arial" w:cs="Arial" w:eastAsia="Arial"/>
                <w:b w:val="0"/>
                <w:sz w:val="18"/>
                <w:rtl w:val="0"/>
              </w:rPr>
              <w:t>‎sales‎</w:t>
            </w:r>
            <w:r>
              <w:rPr>
                <w:rFonts w:ascii="Arial" w:hAnsi="Arial" w:cs="Arial" w:eastAsia="Arial"/>
                <w:b w:val="0"/>
                <w:sz w:val="18"/>
                <w:rtl/>
              </w:rPr>
              <w:t xml:space="preserve">, </w:t>
            </w:r>
            <w:r>
              <w:rPr>
                <w:rFonts w:ascii="Arial" w:hAnsi="Arial" w:cs="Arial" w:eastAsia="Arial"/>
                <w:b w:val="0"/>
                <w:sz w:val="18"/>
                <w:rtl w:val="0"/>
              </w:rPr>
              <w:t>‎cloud‎</w:t>
            </w:r>
            <w:r>
              <w:rPr>
                <w:rFonts w:ascii="Arial" w:hAnsi="Arial" w:cs="Arial" w:eastAsia="Arial"/>
                <w:b w:val="0"/>
                <w:sz w:val="18"/>
                <w:rtl/>
              </w:rPr>
              <w:t xml:space="preserve">, </w:t>
            </w:r>
            <w:r>
              <w:rPr>
                <w:rFonts w:ascii="Arial" w:hAnsi="Arial" w:cs="Arial" w:eastAsia="Arial"/>
                <w:b w:val="0"/>
                <w:sz w:val="18"/>
                <w:rtl w:val="0"/>
              </w:rPr>
              <w:t>‎and key-account contexts‎</w:t>
            </w:r>
            <w:r>
              <w:rPr>
                <w:rFonts w:ascii="Arial" w:hAnsi="Arial" w:cs="Arial" w:eastAsia="Arial"/>
                <w:b w:val="0"/>
                <w:sz w:val="18"/>
                <w:rtl/>
              </w:rPr>
              <w:t xml:space="preserve">; </w:t>
            </w:r>
            <w:r>
              <w:rPr>
                <w:rFonts w:ascii="Arial" w:hAnsi="Arial" w:cs="Arial" w:eastAsia="Arial"/>
                <w:b w:val="0"/>
                <w:sz w:val="18"/>
                <w:rtl w:val="0"/>
              </w:rPr>
              <w:t>‎classify industry and commercial ownership before comparison.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Salesforce State of Sales 2026؛ پیمایش ۴٬۰۵۰ حرفه‌ای فروش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Salesforce State of Sales؛ اعتماد به داده و فشار اداری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CIPD Good Work Index 2025؛ پیمایش بیش از ۵٬۰۰۰ کارگر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مدیر حساب مشتری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account-manager"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41-3091.00" TargetMode="External"/><Relationship Id="rId24" Type="http://schemas.openxmlformats.org/officeDocument/2006/relationships/hyperlink" Target="https://www.onetonline.org/link/summary/11-2022.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Account%20Manager&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alesforce.com/news/stories/state-of-sales-report-announcement-2026/" TargetMode="External"/><Relationship Id="rId36" Type="http://schemas.openxmlformats.org/officeDocument/2006/relationships/hyperlink" Target="https://www.salesforce.com/ap/resources/research-reports/state-of-sales/"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مدیر حساب مشتری | Account Manager</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