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حسابدار خزانه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Treasury Accountant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مالی و حسابداری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حسابدار خزانه (</w:t>
      </w:r>
      <w:r>
        <w:rPr>
          <w:rFonts w:ascii="Arial" w:hAnsi="Arial" w:cs="Arial" w:eastAsia="Arial"/>
          <w:b/>
          <w:sz w:val="22"/>
          <w:rtl w:val="0"/>
        </w:rPr>
        <w:t>‎Treasury Accountant)‎</w:t>
      </w:r>
      <w:r>
        <w:rPr>
          <w:rFonts w:ascii="Arial" w:hAnsi="Arial" w:cs="Arial" w:eastAsia="Arial"/>
          <w:b w:val="0"/>
          <w:sz w:val="22"/>
          <w:rtl/>
        </w:rPr>
        <w:t xml:space="preserve"> نقد، بانک، دریافت/پرداخت، تطبیق و ثبت‌های خزانه را کنترل و گزارش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تأمین مالی و ریسک نقدینگی مدیر خزانه گسترده‌تر است؛ این گزارش بر اجرای حسابداری و کنترل نقد تمرکز دارد.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‎13-2011.00‎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مسئله مرکزی مغایرت بانک و دفاتر، پرداخت بدون کنترل، دید ناکافی نقد و ریسک تقلب است. ذی‌نفعان مالی، فروش، خرید، بانک، مدیر مالی، حسابرس و تأمین‌کننده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‎bank reconciliation‎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‎cash position‎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‎payment pack‎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ثبت و گزارش دریافت/پرداخت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خطای پرداخت یا دسترسی می‌تواند زیان فوری بسازد؛ مغایرت‌ها در پایان دوره و وابستگی به بانک/اسناد فشار زمانی ایجاد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جونیور با مرور صف، موعد و داده/سند ورودی آغاز می‌کند؛ کنترل اسناد پرداخت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فرد میدلول یا سینیور میان تقاضاهای رقیب انتخاب می‌کند، ثبت دریافت و پرداخت و تطبیق بانک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351"/>
        <w:gridCol w:w="1589"/>
        <w:gridCol w:w="2351"/>
        <w:gridCol w:w="234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3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3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اسناد پرداخت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به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کشف مغایرت پیش از تصمیم، پرداخت یا انتشار وابسته است.</w:t>
            </w:r>
          </w:p>
        </w:tc>
        <w:tc>
          <w:tcPr>
            <w:tcW w:type="dxa" w:w="15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خزانه، کارکنان/طرف پرداخت و مدیر مالی؛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بی‌صدا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ثبت دریافت و پرداخت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کنترل ثبت و جریان نقد روزانه با تطبیق بانکی و مجوز پرداخت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5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خزانه، کارکنان/طرف پرداخت و مدیر مالی؛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تطبیق بانک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به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کشف مغایرت پیش از تصمیم، پرداخت یا انتشار وابسته است.</w:t>
            </w:r>
          </w:p>
        </w:tc>
        <w:tc>
          <w:tcPr>
            <w:tcW w:type="dxa" w:w="15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کنترل‌کننده/بازبین، حسابرس و مالک فرایند؛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بی‌صدا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موقعیت نقد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کنترل ثبت و جریان نقد روزانه با تطبیق بانکی و مجوز پرداخت است و «ثبت و گزارش دریافت/پرداخت» را از فعالیت مبهم به تحویل قابل بازبینی تبدیل می‌کند.</w:t>
            </w:r>
          </w:p>
        </w:tc>
        <w:tc>
          <w:tcPr>
            <w:tcW w:type="dxa" w:w="15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ثبت و گزارش دریافت/پرداخت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خزانه، کارکنان/طرف پرداخت و مدیر مالی؛ بازبین «ثبت و گزارش دریافت/پرداخت»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«ثبت و گزارش دریافت/پرداخت»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رفع مغایرت و بستن دوره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کنترل ثبت و جریان نقد روزانه با تطبیق بانکی و مجوز پرداخت است و «فهرست مغایرت بسته‌شده، سند تعدیل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پایان دوره» را از فعالیت مبهم به تحویل قابل بازبینی تبدیل می‌کند.</w:t>
            </w:r>
          </w:p>
        </w:tc>
        <w:tc>
          <w:tcPr>
            <w:tcW w:type="dxa" w:w="15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فهرست مغایرت بسته‌شده، سند تعدیل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پایان دوره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حسابداری و تأییدکنندگان؛ بازبین «فهرست مغایرت بسته‌شده، سند تعدیل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پایان دوره»</w:t>
            </w:r>
          </w:p>
        </w:tc>
        <w:tc>
          <w:tcPr>
            <w:tcW w:type="dxa" w:w="2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بسته اعلام می‌شود، اما معیار پذیرش و کنترلِ «فهرست مغایرت بسته‌شده، سند تعدیل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پایان دوره» آزموده نشده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کنترل اسناد پرداخت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ثبت دریافت و پرداخت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تطبیق بانک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نرخ مغایرت، پرداخت به‌موقع، </w:t>
      </w:r>
      <w:r>
        <w:rPr>
          <w:rFonts w:ascii="Arial" w:hAnsi="Arial" w:cs="Arial" w:eastAsia="Arial"/>
          <w:b w:val="0"/>
          <w:sz w:val="22"/>
          <w:rtl w:val="0"/>
        </w:rPr>
        <w:t>‎cash visibility‎</w:t>
      </w:r>
      <w:r>
        <w:rPr>
          <w:rFonts w:ascii="Arial" w:hAnsi="Arial" w:cs="Arial" w:eastAsia="Arial"/>
          <w:b w:val="0"/>
          <w:sz w:val="22"/>
          <w:rtl/>
        </w:rPr>
        <w:t xml:space="preserve">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مالی، فروش، خرید، بانک، مدیر مالی، حسابرس و تأمین‌کننده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6"/>
        <w:gridCol w:w="1357"/>
        <w:gridCol w:w="5697"/>
      </w:tblGrid>
      <w:tr>
        <w:trPr>
          <w:cantSplit w:val="true"/>
          <w:tblHeader w:val="true"/>
        </w:trPr>
        <w:tc>
          <w:tcPr>
            <w:tcW w:type="dxa" w:w="23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3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6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مغایرت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پرداخت به‌موقع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visibility‎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زمان بستن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خطای/تقلب کشف‌شده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نقد و بانک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نقد و بانک پیوند عدد با سند،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و مانده قابل‌دفاع را برقرار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و تطبیق حسابداری نقد و بانک، بررسی استثنا و آماده‌سازی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ردپای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حسابداری نقد و بانک فقط تساوی جمع را می‌بیند و منشأ، زمان، دسترسی یا اقلام باز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نقد و بانک را تا منشأ تراکنش دنبال، مغایرت را طبقه‌بندی و اصلاح را با بازبین می‌بندد.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حسابداری نقد و بانک: ورود: اجرای چک‌لیست؛ استقلال: بستن چرخه؛ ارشد: طراحی 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 حسابداری نقد و بانک با اسناد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مخرج، استخراج، کنترل کیفیت و شکستن نتیجه به سگمنت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داخلی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داخلی پیوند عدد با سند،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و مانده قابل‌دفاع را برقرار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و تطبیق کنترل داخلی، بررسی استثنا و آماده‌سازی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ردپای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کنترل داخلی فقط تساوی جمع را می‌بیند و منشأ، زمان، دسترسی یا اقلام باز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داخلی را تا منشأ تراکنش دنبال، مغایرت را طبقه‌بندی و اصلاح را با بازبین می‌بندد.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کنترل داخلی: ورود: اجرای چک‌لیست؛ استقلال: بستن چرخه؛ ارشد: طراحی 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 کنترل داخلی با اسناد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الکترونیک: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دقت و محرمانگی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دقت و محرمانگی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دقت و محرمانگی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قاعده دقت و محرمانگی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الزام دقت و محرمانگی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دقت و محرمانگی: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دقت و محرمانگی با منبع، تصمیم، کنترل، استثنا و تاریخ بازبینی.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نقد و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کنترل داخلی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الکترونیک، دقت و محرمانگی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حسابداری،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پرتال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مرز نقش و واژگان صنعت را بیاموزید؛ یک سناریوی واقع‌نما بسازید، کنترل اسناد پرداخت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‎ERP‎</w:t>
      </w:r>
      <w:r>
        <w:rPr>
          <w:rFonts w:ascii="Arial" w:hAnsi="Arial" w:cs="Arial" w:eastAsia="Arial"/>
          <w:b w:val="0"/>
          <w:sz w:val="22"/>
          <w:rtl/>
        </w:rPr>
        <w:t xml:space="preserve"> حسابداری و </w:t>
      </w:r>
      <w:r>
        <w:rPr>
          <w:rFonts w:ascii="Arial" w:hAnsi="Arial" w:cs="Arial" w:eastAsia="Arial"/>
          <w:b w:val="0"/>
          <w:sz w:val="22"/>
          <w:rtl w:val="0"/>
        </w:rPr>
        <w:t>‎Excel‎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‎bank reconciliation‎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‎cash position‎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‎payment pack‎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صفحه خزانه ده نتیجه مستقیم نشان داد؛ </w:t>
      </w:r>
      <w:r>
        <w:rPr>
          <w:rFonts w:ascii="Arial" w:hAnsi="Arial" w:cs="Arial" w:eastAsia="Arial"/>
          <w:b w:val="0"/>
          <w:sz w:val="22"/>
          <w:rtl w:val="0"/>
        </w:rPr>
        <w:t>‎bank statement/reconciliation‎</w:t>
      </w:r>
      <w:r>
        <w:rPr>
          <w:rFonts w:ascii="Arial" w:hAnsi="Arial" w:cs="Arial" w:eastAsia="Arial"/>
          <w:b w:val="0"/>
          <w:sz w:val="22"/>
          <w:rtl/>
        </w:rPr>
        <w:t xml:space="preserve">، دریافت و پرداخت، </w:t>
      </w:r>
      <w:r>
        <w:rPr>
          <w:rFonts w:ascii="Arial" w:hAnsi="Arial" w:cs="Arial" w:eastAsia="Arial"/>
          <w:b w:val="0"/>
          <w:sz w:val="22"/>
          <w:rtl w:val="0"/>
        </w:rPr>
        <w:t>‎Excel‎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‎ERP‎</w:t>
      </w:r>
      <w:r>
        <w:rPr>
          <w:rFonts w:ascii="Arial" w:hAnsi="Arial" w:cs="Arial" w:eastAsia="Arial"/>
          <w:b w:val="0"/>
          <w:sz w:val="22"/>
          <w:rtl/>
        </w:rPr>
        <w:t xml:space="preserve"> محلی، محرمانگی و هماهنگی بانک الگوهای تکراری بودند.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خطای پرداخت یا دسترسی می‌تواند زیان فوری بسازد؛ مغایرت‌ها در پایان دوره و وابستگی به بانک/اسناد فشار زمانی ایجاد می‌کند.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خزانه ده نتیجه مستقیم نشان داد؛ </w:t>
      </w:r>
      <w:r>
        <w:rPr>
          <w:rFonts w:ascii="Arial" w:hAnsi="Arial" w:cs="Arial" w:eastAsia="Arial"/>
          <w:b w:val="0"/>
          <w:sz w:val="22"/>
          <w:rtl w:val="0"/>
        </w:rPr>
        <w:t>‎bank statement/reconciliation‎</w:t>
      </w:r>
      <w:r>
        <w:rPr>
          <w:rFonts w:ascii="Arial" w:hAnsi="Arial" w:cs="Arial" w:eastAsia="Arial"/>
          <w:b w:val="0"/>
          <w:sz w:val="22"/>
          <w:rtl/>
        </w:rPr>
        <w:t xml:space="preserve">، دریافت و پرداخت، </w:t>
      </w:r>
      <w:r>
        <w:rPr>
          <w:rFonts w:ascii="Arial" w:hAnsi="Arial" w:cs="Arial" w:eastAsia="Arial"/>
          <w:b w:val="0"/>
          <w:sz w:val="22"/>
          <w:rtl w:val="0"/>
        </w:rPr>
        <w:t>‎Excel‎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‎ERP‎</w:t>
      </w:r>
      <w:r>
        <w:rPr>
          <w:rFonts w:ascii="Arial" w:hAnsi="Arial" w:cs="Arial" w:eastAsia="Arial"/>
          <w:b w:val="0"/>
          <w:sz w:val="22"/>
          <w:rtl/>
        </w:rPr>
        <w:t xml:space="preserve"> محلی، محرمانگی و هماهنگی بانک الگوهای تکراری بودند.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صفحه خزانه ده نتیجه مستقیم نشان داد؛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statement/reconciliation‎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دریافت و پرداخت،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محلی، محرمانگی و هماهنگی بانک الگوهای تکراری بودند.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نقد و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کنترل داخلی،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«حسابدار خزانه» با حسابداری مالی، کارشناس خزانه، حسابداری مالیاتی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حسابدار خزانه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همگن ده‌تایی رقم حقوق کافی و قابل مقایسه آشکار نبود.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«حسابدار خزانه».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37"/>
        <w:gridCol w:w="1426"/>
        <w:gridCol w:w="1694"/>
        <w:gridCol w:w="1872"/>
        <w:gridCol w:w="1426"/>
        <w:gridCol w:w="1605"/>
      </w:tblGrid>
      <w:tr>
        <w:trPr>
          <w:cantSplit w:val="true"/>
          <w:tblHeader w:val="true"/>
        </w:trPr>
        <w:tc>
          <w:tcPr>
            <w:tcW w:type="dxa" w:w="13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6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6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8"/>
        <w:gridCol w:w="1822"/>
        <w:gridCol w:w="2071"/>
        <w:gridCol w:w="1739"/>
        <w:gridCol w:w="1242"/>
        <w:gridCol w:w="1078"/>
      </w:tblGrid>
      <w:tr>
        <w:trPr>
          <w:cantSplit w:val="true"/>
          <w:tblHeader w:val="true"/>
        </w:trPr>
        <w:tc>
          <w:tcPr>
            <w:tcW w:type="dxa" w:w="14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8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7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حسابداری</w:t>
            </w:r>
          </w:p>
        </w:tc>
        <w:tc>
          <w:tcPr>
            <w:tcW w:type="dxa" w:w="1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اسناد پرداخت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</w:p>
        </w:tc>
        <w:tc>
          <w:tcPr>
            <w:tcW w:type="dxa" w:w="1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ثبت دریافت و پرداخت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پرتال بانک</w:t>
            </w:r>
          </w:p>
        </w:tc>
        <w:tc>
          <w:tcPr>
            <w:tcW w:type="dxa" w:w="1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تطبیق بانک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management‎</w:t>
            </w:r>
          </w:p>
        </w:tc>
        <w:tc>
          <w:tcPr>
            <w:tcW w:type="dxa" w:w="1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موقعیت نقد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workflow‎</w:t>
            </w:r>
          </w:p>
        </w:tc>
        <w:tc>
          <w:tcPr>
            <w:tcW w:type="dxa" w:w="1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رفع مغایرت و بستن دوره</w:t>
            </w:r>
          </w:p>
        </w:tc>
        <w:tc>
          <w:tcPr>
            <w:tcW w:type="dxa" w:w="20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«کنترل اسناد پرداخت»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«پرداخت به‌موقع» بهتر اما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visibility‎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حسابداری»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«نرخ مغایرت»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«زمان بستن»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«خطای/تقلب کشف‌شده»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«گزارش موقعیت نقد»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«ثبت دریافت و پرداخت»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«تطبیق بانک»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میان ذی‌نفعانِ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توجه به اینکه خطای پرداخت یا دسترسی می‌تواند زیان فوری بسازد؛ مغایرت‌ها در پایان دوره و وابستگی به بانک/اسناد فشار زمانی ایجاد می‌کند،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«کنترل اسناد پرداخت»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«ثبت دریافت و پرداخت»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«نرخ مغایرت»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«پرداخت به‌موقع» بهتر اما «</w:t>
      </w:r>
      <w:r>
        <w:rPr>
          <w:rFonts w:ascii="Arial" w:hAnsi="Arial" w:cs="Arial" w:eastAsia="Arial"/>
          <w:b w:val="0"/>
          <w:sz w:val="22"/>
          <w:rtl w:val="0"/>
        </w:rPr>
        <w:t>‎cash visibility‎</w:t>
      </w:r>
      <w:r>
        <w:rPr>
          <w:rFonts w:ascii="Arial" w:hAnsi="Arial" w:cs="Arial" w:eastAsia="Arial"/>
          <w:b w:val="0"/>
          <w:sz w:val="22"/>
          <w:rtl/>
        </w:rPr>
        <w:t xml:space="preserve">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‎bank reconciliation‎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‎AFP Treasury Benchmarking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‎https://www.afponline.org/training-resources/resources/survey-research-economic-data/Details/treasury-benchmarking‎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‎https://www.accaglobal.com/crsh/en/professional-insights/pro-accountants-the-future/global-talent-trends-2025.html‎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‎https://www.accaglobal.com/content/dam/ACCA_Global/professional-insights/GTT-2026/gtt-2026-final.pdf‎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‎CIPD Good Work Index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‎https://www.cipd.org/uk/knowledge/reports/goodwork/‎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زمان زیادی صرف اثبات منشأ مغایرت و کنترل مجوز می‌شود، نه ثبت ساده.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اتکا به مانده نهایی بدون تطبیق تراکنش، </w:t>
      </w:r>
      <w:r>
        <w:rPr>
          <w:rFonts w:ascii="Arial" w:hAnsi="Arial" w:cs="Arial" w:eastAsia="Arial"/>
          <w:b w:val="0"/>
          <w:sz w:val="22"/>
          <w:rtl w:val="0"/>
        </w:rPr>
        <w:t>‎cutoff‎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‎sign-off.‎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دید مستقیم بر نقد و مسئولیت ملموس دلیل ماندن است؛ دسترسی پرریسک و فشار پایان دوره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ماتریس دسترسی، </w:t>
      </w:r>
      <w:r>
        <w:rPr>
          <w:rFonts w:ascii="Arial" w:hAnsi="Arial" w:cs="Arial" w:eastAsia="Arial"/>
          <w:b w:val="0"/>
          <w:sz w:val="22"/>
          <w:rtl w:val="0"/>
        </w:rPr>
        <w:t>‎bank reconciliation‎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‎cash-position‎</w:t>
      </w:r>
      <w:r>
        <w:rPr>
          <w:rFonts w:ascii="Arial" w:hAnsi="Arial" w:cs="Arial" w:eastAsia="Arial"/>
          <w:b w:val="0"/>
          <w:sz w:val="22"/>
          <w:rtl/>
        </w:rPr>
        <w:t xml:space="preserve"> روزانه را در یک </w:t>
      </w:r>
      <w:r>
        <w:rPr>
          <w:rFonts w:ascii="Arial" w:hAnsi="Arial" w:cs="Arial" w:eastAsia="Arial"/>
          <w:b w:val="0"/>
          <w:sz w:val="22"/>
          <w:rtl w:val="0"/>
        </w:rPr>
        <w:t>‎case‎</w:t>
      </w:r>
      <w:r>
        <w:rPr>
          <w:rFonts w:ascii="Arial" w:hAnsi="Arial" w:cs="Arial" w:eastAsia="Arial"/>
          <w:b w:val="0"/>
          <w:sz w:val="22"/>
          <w:rtl/>
        </w:rPr>
        <w:t xml:space="preserve"> تمرین می‌کرد.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69"/>
        <w:gridCol w:w="1924"/>
        <w:gridCol w:w="1924"/>
        <w:gridCol w:w="1924"/>
        <w:gridCol w:w="189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9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9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9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«حسابداری مالی» این اشتراک مشخصاً با تمرکز بر کنترل عدد، ریسک و انطباق دیده می‌شود.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حسابداری مالی عمدتاً مالک «ثبت/گزارش مالی، آزمون کنترل یا تحلیل نقد» است.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بانکداری الکترونیک و گردش تأیید؛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کارشناس خزانه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Specialist‎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«کارشناس خزانه» این اشتراک مشخصاً با تمرکز بر کنترل جریان کالا، سند و ظرفیت دیده می‌شود.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کارشناس خزانه عمدتاً مالک «سفارش/حمل/موجودی یا برنامه تأمین» است.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تأمین‌کننده، عملیات و مالی</w:t>
            </w:r>
          </w:p>
        </w:tc>
        <w:tc>
          <w:tcPr>
            <w:tcW w:type="dxa" w:w="1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بانکداری الکترونیک و گردش تأیید؛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‎ERP/TMS‎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اسناد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Accounting‎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«حسابداری مالیاتی» این اشتراک مشخصاً با تمرکز بر کنترل عدد، ریسک و انطباق دیده می‌شود.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حسابداری مالیاتی عمدتاً مالک «ثبت/گزارش مالی، آزمون کنترل یا تحلیل نقد» است.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بانکداری الکترونیک و گردش تأیید؛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بازرگانی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‎Commercial Operations‎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«عملیات بازرگانی» این اشتراک مشخصاً با تمرکز بر توسعه رابطه و فرصت تجاری دیده می‌شود.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عملیات بازرگانی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مذاکره و قرارداد/درآمد» است.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مشتری/شریک و تیم تحویل</w:t>
            </w:r>
          </w:p>
        </w:tc>
        <w:tc>
          <w:tcPr>
            <w:tcW w:type="dxa" w:w="1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بانکداری الکترونیک و گردش تأیید؛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ارائه و قرارداد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حساب‌های پرداختنی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‎Accounts Payable‎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«حساب‌های پرداختنی» این اشتراک مشخصاً با تمرکز بر کنترل عدد، ریسک و انطباق دیده می‌شود.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حساب‌های پرداختنی عمدتاً مالک «ثبت/گزارش مالی، آزمون کنترل یا تحلیل نقد» است.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بانکداری الکترونیک و گردش تأیید؛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نقدینگی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‎Liquidity Analysis‎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«تحلیل نقدینگی» این اشتراک مشخصاً با تمرکز بر کنترل عدد، ریسک و انطباق دیده می‌شود.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تحلیل نقدینگی عمدتاً مالک «ثبت/گزارش مالی، آزمون کنترل یا تحلیل نقد» است.</w:t>
            </w:r>
          </w:p>
        </w:tc>
        <w:tc>
          <w:tcPr>
            <w:tcW w:type="dxa" w:w="1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بانکداری الکترونیک و گردش تأیید؛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66"/>
        <w:gridCol w:w="1918"/>
        <w:gridCol w:w="1918"/>
        <w:gridCol w:w="1918"/>
        <w:gridCol w:w="19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9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زیان فوری ناشی از خطای پرداخت یا دسترسی؛ مسیر نزدیک: مهلت، شواهد ناقص و مسئولیت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کارشناس خزانه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Specialist‎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عملیاتی متوسط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شناخت فرایند/صنعت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زیان فوری ناشی از خطای پرداخت یا دسترسی؛ مسیر نزدیک: استثنا، موعد و وابستگی بیرونی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مدیریت عملیات/زنجیره تأمین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Accounting‎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زیان فوری ناشی از خطای پرداخت یا دسترسی؛ مسیر نزدیک: مهلت، شواهد ناقص و مسئولیت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بازرگانی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‎Commercial Operations‎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خلاقیت تجاری زیاد؛ آمار متوسط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ورود با شاهد فروش/رابطه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زیان فوری ناشی از خطای پرداخت یا دسترسی؛ مسیر نزدیک: سهمیه، ردشدن و وابستگی بیرونی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مدیریت فروش یا مالکیت بازار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حساب‌های پرداختنی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‎Accounts Payable‎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زیان فوری ناشی از خطای پرداخت یا دسترسی؛ مسیر نزدیک: مهلت، شواهد ناقص و مسئولیت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نقدینگی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‎Liquidity Analysis‎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زیان فوری ناشی از خطای پرداخت یا دسترسی؛ مسیر نزدیک: مهلت، شواهد ناقص و مسئولیت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06"/>
        <w:gridCol w:w="3468"/>
        <w:gridCol w:w="346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7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4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«حسابداری مالی»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کارشناس خزانه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Specialist‎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برنامه و هشدار کمک می‌گیرد؛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«کارشناس خزانه»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Accounting‎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«حسابداری مالیاتی»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بازرگانی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‎Commercial Operations‎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‎prospecting‎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یادداشت کمک می‌گیرد؛ معامله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«عملیات بازرگانی»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حساب‌های پرداختنی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‎Accounts Payable‎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«حساب‌های پرداختنی»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نقدینگی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‎Liquidity Analysis‎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«تحلیل نقدینگی»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از کنترل اسناد پرداخت، ثبت دریافت و پرداخت، تطبیق بانک،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خطای پرداخت یا دسترسی می‌تواند زیان فوری بسازد؛ مغایرت‌ها در پایان دوره و وابستگی به بانک/اسناد فشار زمانی ایجاد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‎bank reconciliation‎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‎cash position‎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ثبت دریافت و پرداخت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Accountant‎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نقد، بانک، دریافت/پرداخت، تطبیق و ثبت‌های خزانه را کنترل و گزارش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خطای پرداخت یا دسترسی می‌تواند زیان فوری بسازد؛ مغایرت‌ها در پایان دوره و وابستگی به بانک/اسناد فشار زمانی ایجاد می‌کند.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نقد و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 داخلی،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بانکداری الکترونیک، دقت و محرمانگی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حسابداری،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پرتال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workflow‎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6"/>
        <w:gridCol w:w="5466"/>
        <w:gridCol w:w="2938"/>
      </w:tblGrid>
      <w:tr>
        <w:trPr>
          <w:cantSplit w:val="true"/>
          <w:tblHeader w:val="true"/>
        </w:trPr>
        <w:tc>
          <w:tcPr>
            <w:tcW w:type="dxa" w:w="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9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خطای پرداخت یا دسترسی می‌تواند زیان فوری بسازد؛ مغایرت‌ها در پایان دوره و وابستگی به بانک/اسناد فشار زمانی ایجاد می‌کند.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ماه/سال، ممیزی، پرداخت یا مهلت قانونی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کنترل اسناد پرداخت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ثبت دریافت و پرداخت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نرخ مغایرت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پرداخت به‌موقع بهتر و </w:t>
      </w:r>
      <w:r>
        <w:rPr>
          <w:rFonts w:ascii="Arial" w:hAnsi="Arial" w:cs="Arial" w:eastAsia="Arial"/>
          <w:b w:val="0"/>
          <w:sz w:val="22"/>
          <w:rtl w:val="0"/>
        </w:rPr>
        <w:t>‎cash visibility‎</w:t>
      </w:r>
      <w:r>
        <w:rPr>
          <w:rFonts w:ascii="Arial" w:hAnsi="Arial" w:cs="Arial" w:eastAsia="Arial"/>
          <w:b w:val="0"/>
          <w:sz w:val="22"/>
          <w:rtl/>
        </w:rPr>
        <w:t xml:space="preserve">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‎bank reconciliation‎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63"/>
        <w:gridCol w:w="935"/>
        <w:gridCol w:w="3471"/>
        <w:gridCol w:w="3471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7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9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4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4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مالی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«حسابداری مالی» این اشتراک مشخصاً با تمرکز بر کنترل عدد، ریسک و انطباق دیده می‌شود.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حسابداری مالی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خزانه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Specialist‎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«کارشناس خزانه» این اشتراک مشخصاً با تمرکز بر کنترل جریان کالا، سند و ظرفیت دیده می‌شود.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کارشناس خزانه عمدتاً مالک «سفارش/حمل/موجودی یا برنامه تأمین»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مالیاتی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Accounting‎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«حسابداری مالیاتی» این اشتراک مشخصاً با تمرکز بر کنترل عدد، ریسک و انطباق دیده می‌شود.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حسابداری مالیاتی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بازرگانی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‎Commercial Operations‎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«عملیات بازرگانی» این اشتراک مشخصاً با تمرکز بر توسعه رابطه و فرصت تجاری دیده می‌شود.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عملیات بازرگانی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مذاکره و قرارداد/درآمد»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حساب‌های پرداختنی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‎Accounts Payable‎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«حساب‌های پرداختنی» این اشتراک مشخصاً با تمرکز بر کنترل عدد، ریسک و انطباق دیده می‌شود.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حساب‌های پرداختنی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نقدینگی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‎Liquidity Analysis‎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نقد، کنترل دسترسی و صحت ثبت و هماهنگی با مدیر مالی، بانک،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‎AP/AR‎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حسابداری و تأییدکنندگان تکیه دارند؛ در «تحلیل نقدینگی» این اشتراک مشخصاً با تمرکز بر کنترل عدد، ریسک و انطباق دیده می‌شود.</w:t>
            </w:r>
          </w:p>
        </w:tc>
        <w:tc>
          <w:tcPr>
            <w:tcW w:type="dxa" w:w="3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خزانه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‎bank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‎cash 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‎payment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دریافت/پرداخت» است؛ تحلیل نقدینگی عمدتاً مالک «ثبت/گزارش مالی، آزمون کنترل یا تحلیل نقد»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55"/>
        <w:gridCol w:w="720"/>
        <w:gridCol w:w="720"/>
        <w:gridCol w:w="770"/>
        <w:gridCol w:w="720"/>
        <w:gridCol w:w="285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7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Treasury Accountant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combines treasurer‎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accountant‎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specialist‎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some finance-manager 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control scope and seniority.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سامانه مؤدیان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جاری/پایه ۱۳۹۸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دیجیتالی‌شدن تکلیف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‎VAT 1400‎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۱۴۰۰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انطباق مالیاتی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13-2011.00‎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13-2011.00‎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Treasury Accountant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combines treasurer‎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accountant‎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 specialist‎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some finance-manager 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control scope and seniority.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‎AFP Treasury Benchmarking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‎CIPD Good Work Index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حسابدار خزانه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treasurer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nezamat.ir/post-41585/" TargetMode="External"/><Relationship Id="rId24" Type="http://schemas.openxmlformats.org/officeDocument/2006/relationships/hyperlink" Target="https://nezamat.ir/post-42774/" TargetMode="External"/><Relationship Id="rId25" Type="http://schemas.openxmlformats.org/officeDocument/2006/relationships/hyperlink" Target="https://www.onetonline.org/link/summary/13-2011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es/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linkedin.com/jobs/search/?keywords=Treasury%20Accountant&amp;location=Worldwide" TargetMode="External"/><Relationship Id="rId33" Type="http://schemas.openxmlformats.org/officeDocument/2006/relationships/hyperlink" Target="https://www.ilo.org/publications/generative-ai-and-jobs-refined-global-index-occupational-exposure" TargetMode="External"/><Relationship Id="rId34" Type="http://schemas.openxmlformats.org/officeDocument/2006/relationships/hyperlink" Target="https://www.pwc.com/gx/en/issues/artificial-intelligence/publications/artificial-intelligence-study.html" TargetMode="External"/><Relationship Id="rId35" Type="http://schemas.openxmlformats.org/officeDocument/2006/relationships/hyperlink" Target="https://hai.stanford.edu/ai-index/2026-ai-index-report/economy" TargetMode="External"/><Relationship Id="rId36" Type="http://schemas.openxmlformats.org/officeDocument/2006/relationships/hyperlink" Target="https://www.afponline.org/training-resources/resources/survey-research-economic-data/Details/treasury-benchmarking" TargetMode="External"/><Relationship Id="rId37" Type="http://schemas.openxmlformats.org/officeDocument/2006/relationships/hyperlink" Target="https://www.accaglobal.com/crsh/en/professional-insights/pro-accountants-the-future/global-talent-trends-2025.html" TargetMode="External"/><Relationship Id="rId38" Type="http://schemas.openxmlformats.org/officeDocument/2006/relationships/hyperlink" Target="https://www.accaglobal.com/content/dam/ACCA_Global/professional-insights/GTT-2026/gtt-2026-final.pdf" TargetMode="External"/><Relationship Id="rId39" Type="http://schemas.openxmlformats.org/officeDocument/2006/relationships/hyperlink" Target="https://www.cipd.org/uk/knowledge/reports/good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حسابدار خزانه | Treasury Accountant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