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کارشناس حقوق و دستمزد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Payroll Specialist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مالی و حسابداری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کارشناس حقوق و دستمزد (</w:t>
      </w:r>
      <w:r>
        <w:rPr>
          <w:rFonts w:ascii="Arial" w:hAnsi="Arial" w:cs="Arial" w:eastAsia="Arial"/>
          <w:b/>
          <w:sz w:val="22"/>
          <w:rtl w:val="0"/>
        </w:rPr>
        <w:t>‎Payroll Specialist)‎</w:t>
      </w:r>
      <w:r>
        <w:rPr>
          <w:rFonts w:ascii="Arial" w:hAnsi="Arial" w:cs="Arial" w:eastAsia="Arial"/>
          <w:b w:val="0"/>
          <w:sz w:val="22"/>
          <w:rtl/>
        </w:rPr>
        <w:t xml:space="preserve"> حقوق، مزایا، کسورات، مالیات و بیمه دوره‌ای کارکنان را دقیق، محرمانه و به‌موقع محاسبه و تسویه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طراحی سیاست جبران خدمات یا پرونده پرسنلی عمومی نقش‌های جدا هستند؛ </w:t>
      </w:r>
      <w:r>
        <w:rPr>
          <w:rFonts w:ascii="Arial" w:hAnsi="Arial" w:cs="Arial" w:eastAsia="Arial"/>
          <w:b w:val="0"/>
          <w:sz w:val="22"/>
          <w:rtl w:val="0"/>
        </w:rPr>
        <w:t>‎payroll‎</w:t>
      </w:r>
      <w:r>
        <w:rPr>
          <w:rFonts w:ascii="Arial" w:hAnsi="Arial" w:cs="Arial" w:eastAsia="Arial"/>
          <w:b w:val="0"/>
          <w:sz w:val="22"/>
          <w:rtl/>
        </w:rPr>
        <w:t xml:space="preserve"> نقطه اتصال داده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، قانون و پرداخت است.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‎43-3051.00‎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پرداخت نادرست/دیر، کسورات اشتباه و ریسک انطباق برای هر فرد است. ذی‌نفعان کارکنان،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>، مالی، خزانه، بیمه، مالیات و مدیر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‎payroll register‎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فایل پرداخت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لیست بیمه/مالیات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 xml:space="preserve"> و کنترل تغییرات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یک خطای کوچک برای صدها نفر اثر شخصی و حقوقی دارد؛ مهلت پایان ماه، داده دیرهنگام و محرمانگی امکان آزمون‌وخطای آزاد را کم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جونیور با مرور صف، موعد و داده/سند ورودی آغاز می‌کند؛ جمع‌آوری تغییرات و حضور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محاسبه </w:t>
      </w:r>
      <w:r>
        <w:rPr>
          <w:rFonts w:ascii="Arial" w:hAnsi="Arial" w:cs="Arial" w:eastAsia="Arial"/>
          <w:b w:val="0"/>
          <w:sz w:val="22"/>
          <w:rtl w:val="0"/>
        </w:rPr>
        <w:t>‎gross-to-net‎</w:t>
      </w:r>
      <w:r>
        <w:rPr>
          <w:rFonts w:ascii="Arial" w:hAnsi="Arial" w:cs="Arial" w:eastAsia="Arial"/>
          <w:b w:val="0"/>
          <w:sz w:val="22"/>
          <w:rtl/>
        </w:rPr>
        <w:t xml:space="preserve"> و کنترل و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 xml:space="preserve">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375"/>
        <w:gridCol w:w="1514"/>
        <w:gridCol w:w="2375"/>
        <w:gridCol w:w="237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3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5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3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جمع‌آوری تغییرات و حضور</w:t>
            </w:r>
          </w:p>
        </w:tc>
        <w:tc>
          <w:tcPr>
            <w:tcW w:type="dxa" w:w="2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پرداخت دقیق و به‌موقع حقوق با رعایت قانون و محرمانگی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</w:p>
        </w:tc>
        <w:tc>
          <w:tcPr>
            <w:tcW w:type="dxa" w:w="2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مالی و مالک فرایند؛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محاسبه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‎gross-to-net‎</w:t>
            </w:r>
          </w:p>
        </w:tc>
        <w:tc>
          <w:tcPr>
            <w:tcW w:type="dxa" w:w="2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پرداخت دقیق و به‌موقع حقوق با رعایت قانون و محرمانگی است و «فایل پرداخت» را از فعالیت مبهم به تحویل قابل بازبینی تبدیل می‌کند.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 پرداخت</w:t>
            </w:r>
          </w:p>
        </w:tc>
        <w:tc>
          <w:tcPr>
            <w:tcW w:type="dxa" w:w="2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خزانه، کارکنان/طرف پرداخت و مدیر مالی؛ بازبین «فایل پرداخت»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«فایل پرداخت»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  <w:tc>
          <w:tcPr>
            <w:tcW w:type="dxa" w:w="2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به «لیست بیمه/مالیات» به کشف مغایرت پیش از تصمیم، پرداخت یا انتشار وابسته است.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لیست بیمه/مالیات</w:t>
            </w:r>
          </w:p>
        </w:tc>
        <w:tc>
          <w:tcPr>
            <w:tcW w:type="dxa" w:w="2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کنترل‌کننده/بازبین، حسابرس و مالک فرایند؛ بازبین «لیست بیمه/مالیات»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فقط روی جمع کل یا نمونه راحت انجام می‌شود و مغایرتِ مؤثر بر لیست بیمه/مالیات بی‌صدا می‌ماند.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ارسال پرداخت/لیست‌ها</w:t>
            </w:r>
          </w:p>
        </w:tc>
        <w:tc>
          <w:tcPr>
            <w:tcW w:type="dxa" w:w="2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پرداخت دقیق و به‌موقع حقوق با رعایت قانون و محرمانگی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کنترل تغییرات» را از فعالیت مبهم به تحویل قابل بازبینی تبدیل می‌کند.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کنترل تغییرات</w:t>
            </w:r>
          </w:p>
        </w:tc>
        <w:tc>
          <w:tcPr>
            <w:tcW w:type="dxa" w:w="2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خزانه، کارکنان/طرف پرداخت و مدیر مالی؛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کنترل تغییرات»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کنترل تغییرات»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محرمانه و اصلاح خطا</w:t>
            </w:r>
          </w:p>
        </w:tc>
        <w:tc>
          <w:tcPr>
            <w:tcW w:type="dxa" w:w="2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پراکنده را به تصمیم ثبت‌شده تبدیل می‌کند و مانع می‌شود «تیکت محرمانه، سند اصلاح، تأیید پرداخت و علت ریشه‌ای» میان ذی‌نفعان معطل بماند.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تیکت محرمانه، سند اصلاح، تأیید پرداخت و علت ریشه‌ای</w:t>
            </w:r>
          </w:p>
        </w:tc>
        <w:tc>
          <w:tcPr>
            <w:tcW w:type="dxa" w:w="2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بیمه؛ بازبین «تیکت محرمانه، سند اصلاح، تأیید پرداخت و علت ریشه‌ای»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تعهد شفاهی بدون مالک،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ثبت می‌شود و تحویلِ تیکت محرمانه، سند اصلاح، تأیید پرداخت و علت ریشه‌ای قابل پیگیری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جمع‌آوری تغییرات و حضور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محاسبه </w:t>
      </w:r>
      <w:r>
        <w:rPr>
          <w:rFonts w:ascii="Arial" w:hAnsi="Arial" w:cs="Arial" w:eastAsia="Arial"/>
          <w:b w:val="0"/>
          <w:sz w:val="22"/>
          <w:rtl w:val="0"/>
        </w:rPr>
        <w:t>‎gross-to-net‎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کنترل و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دقت </w:t>
      </w:r>
      <w:r>
        <w:rPr>
          <w:rFonts w:ascii="Arial" w:hAnsi="Arial" w:cs="Arial" w:eastAsia="Arial"/>
          <w:b w:val="0"/>
          <w:sz w:val="22"/>
          <w:rtl w:val="0"/>
        </w:rPr>
        <w:t>‎payroll‎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‎on-time rate‎</w:t>
      </w:r>
      <w:r>
        <w:rPr>
          <w:rFonts w:ascii="Arial" w:hAnsi="Arial" w:cs="Arial" w:eastAsia="Arial"/>
          <w:b w:val="0"/>
          <w:sz w:val="22"/>
          <w:rtl/>
        </w:rPr>
        <w:t>، نرخ اصلاح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هماهنگی با کارکنان،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>، مالی، خزانه، بیمه، مالیات و مدیر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6"/>
        <w:gridCol w:w="1357"/>
        <w:gridCol w:w="5697"/>
      </w:tblGrid>
      <w:tr>
        <w:trPr>
          <w:cantSplit w:val="true"/>
          <w:tblHeader w:val="true"/>
        </w:trPr>
        <w:tc>
          <w:tcPr>
            <w:tcW w:type="dxa" w:w="23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3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6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دقت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‎on-time rate‎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اصلاح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زمان پاسخ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انطباق و محرمانگی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 کار/بیمه/مالیات حقوق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 کار/بیمه/مالیات حقوق مرز اختیار، رضایت و ریسک قانونی/اعتباری تحویل را تعیین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تبدیل الزام قانون کار/بیمه/مالیات حقوق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‎checklist‎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ثبت استناد،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شاهد.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قاعده قانون کار/بیمه/مالیات حقوق را حفظی و قطعی می‌گوید اما تاریخ، دامنه و مرجع را ثبت نمی‌کند.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الزام قانون کار/بیمه/مالیات حقوق را با منبع جاری، سناریوی مرزی و نقطه ارجاع به متخصص اعمال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قانون کار/بیمه/مالیات حقوق: ورود: تشخیص الزام؛ استقلال: اجرای کنترل؛ ارشد: تفسیر با همکاری حقوقی/حرفه‌ای.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بی‌نامِ قانون کار/بیمه/مالیات حقوق با منبع، تصمیم، کنترل، استثنا و تاریخ بازبینی.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محاسبات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محاسبات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فاصله میان داده خام و ادعای قابل آزمون را کم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مخرج، استخراج، کنترل کیفیت و شکستن نتیجه به سگمنت با محاسبات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محاسبات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کپی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محدودیت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محاسبات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بازتولید، با منبع تطبیق و اثر تصمیم را جدا از هم‌بستگی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محاسبات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مبانی و کنترل؛ استقلال: تحلیل کامل؛ ارشد: استاندارد و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فایل/کوئری محاسبات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داده بی‌نام،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dictionary‎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محیط تحویل واقعی نقش است؛ تسلط باید به خروجی سالم و قابل‌تحویل منجر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ساخت، نسخه‌بندی، کنترل دسترسی/کیفیت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در 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منوهای 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می‌شناسد و در خطا،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محدودیت مقصد متوقف می‌شود.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سناریوی کامل را اجرا، خطا را تشخیص و انتخاب فنی را با پیامد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استقلال: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ارشد: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آموزش.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کوچکِ 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فایل منبع، نسخه‌ها، چک‌لیست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خروجی مقصد.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پیوند عدد با سند،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و مانده قابل‌دفاع را برقرار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ثبت و تطبیق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بررسی استثنا و آماده‌سازی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ردپای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تساوی جمع را می‌بیند و منشأ، زمان، دسترسی یا اقلام باز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تا منشأ تراکنش دنبال، مغایرت را طبقه‌بندی و اصلاح را با بازبین می‌بندد.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اجرای چک‌لیست؛ استقلال: بستن چرخه؛ ارشد: طراحی 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اسناد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محرمانگی و ارتباط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محرمانگی و ارتباط مرز اختیار، رضایت و ریسک قانونی/اعتباری تحویل را تعیین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تبدیل الزام محرمانگی و ارتباط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‎checklist‎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ثبت استناد،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شاهد.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قاعده محرمانگی و ارتباط را حفظی و قطعی می‌گوید اما تاریخ، دامنه و مرجع را ثبت نمی‌کند.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الزام محرمانگی و ارتباط را با منبع جاری، سناریوی مرزی و نقطه ارجاع به متخصص اعمال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محرمانگی و ارتباط: ورود: تشخیص الزام؛ استقلال: اجرای کنترل؛ ارشد: تفسیر با همکاری حقوقی/حرفه‌ای.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بی‌نامِ محرمانگی و ارتباط با منبع، تصمیم، کنترل، استثنا و تاریخ بازبینی.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91"/>
        <w:gridCol w:w="7369"/>
      </w:tblGrid>
      <w:tr>
        <w:trPr>
          <w:cantSplit w:val="true"/>
          <w:tblHeader w:val="true"/>
        </w:trPr>
        <w:tc>
          <w:tcPr>
            <w:tcW w:type="dxa" w:w="19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3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کار/بیمه/مالیات حقوق، محاسبات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محرمانگی و ارتباط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‎Payroll/HRIS‎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‎Attendance‎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portal‎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‎Tax/SSO portals‎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مرز نقش و واژگان صنعت را بیاموزید؛ یک سناریوی واقع‌نما بسازید، جمع‌آوری تغییرات و حضور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‎Payroll/HRIS‎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‎Excel‎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‎payroll register‎</w:t>
      </w:r>
      <w:r>
        <w:rPr>
          <w:rFonts w:ascii="Arial" w:hAnsi="Arial" w:cs="Arial" w:eastAsia="Arial"/>
          <w:b w:val="0"/>
          <w:sz w:val="22"/>
          <w:rtl/>
        </w:rPr>
        <w:t>، فایل پرداخت، لیست بیمه/مالیات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صفحه مستقیم حدود دو تا سه نتیجه و نسخه تهران هفت نتیجه گسترده داشت؛ سه مورد مستقیم شمرده شد و عنوان‌های </w:t>
      </w:r>
      <w:r>
        <w:rPr>
          <w:rFonts w:ascii="Arial" w:hAnsi="Arial" w:cs="Arial" w:eastAsia="Arial"/>
          <w:b w:val="0"/>
          <w:sz w:val="22"/>
          <w:rtl w:val="0"/>
        </w:rPr>
        <w:t>‎Compensation‎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‎HR Ops‎</w:t>
      </w:r>
      <w:r>
        <w:rPr>
          <w:rFonts w:ascii="Arial" w:hAnsi="Arial" w:cs="Arial" w:eastAsia="Arial"/>
          <w:b w:val="0"/>
          <w:sz w:val="22"/>
          <w:rtl/>
        </w:rPr>
        <w:t xml:space="preserve"> جدا ماند.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خطای کوچک برای صدها نفر اثر شخصی و حقوقی دارد؛ مهلت پایان ماه، داده دیرهنگام و محرمانگی امکان آزمون‌وخطای آزاد را کم می‌کند.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صفحه مستقیم حدود دو تا سه نتیجه و نسخه تهران هفت نتیجه گسترده داشت؛ سه مورد مستقیم شمرده شد و عنوان‌های </w:t>
      </w:r>
      <w:r>
        <w:rPr>
          <w:rFonts w:ascii="Arial" w:hAnsi="Arial" w:cs="Arial" w:eastAsia="Arial"/>
          <w:b w:val="0"/>
          <w:sz w:val="22"/>
          <w:rtl w:val="0"/>
        </w:rPr>
        <w:t>‎Compensation‎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‎HR Ops‎</w:t>
      </w:r>
      <w:r>
        <w:rPr>
          <w:rFonts w:ascii="Arial" w:hAnsi="Arial" w:cs="Arial" w:eastAsia="Arial"/>
          <w:b w:val="0"/>
          <w:sz w:val="22"/>
          <w:rtl/>
        </w:rPr>
        <w:t xml:space="preserve"> جدا ماند.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صفحه مستقیم حدود دو تا سه نتیجه و نسخه تهران هفت نتیجه گسترده داشت؛ سه مورد مستقیم شمرده شد و عنوان‌های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‎Compensation‎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 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جدا ماند.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کار/بیمه/مالیات حقوق، محاسبات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«کارشناس حقوق و دستمزد» با عملیات منابع انسانی، جبران خدمات و مزایا، حسابداری مالیاتی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کارشناس حقوق و دستمزد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آگهی مستقیم همگن با حقوق آشکار کافی نبود؛ حقوق عمومی </w:t>
      </w:r>
      <w:r>
        <w:rPr>
          <w:rFonts w:ascii="Arial" w:hAnsi="Arial" w:cs="Arial" w:eastAsia="Arial"/>
          <w:b w:val="0"/>
          <w:sz w:val="22"/>
          <w:rtl w:val="0"/>
        </w:rPr>
        <w:t>‎HR/‎</w:t>
      </w:r>
      <w:r>
        <w:rPr>
          <w:rFonts w:ascii="Arial" w:hAnsi="Arial" w:cs="Arial" w:eastAsia="Arial"/>
          <w:b w:val="0"/>
          <w:sz w:val="22"/>
          <w:rtl/>
        </w:rPr>
        <w:t>حسابداری جایگزین معتبر این تخصص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«کارشناس حقوق و دستمزد».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3"/>
        <w:gridCol w:w="1454"/>
        <w:gridCol w:w="1545"/>
        <w:gridCol w:w="1908"/>
        <w:gridCol w:w="1454"/>
        <w:gridCol w:w="1636"/>
      </w:tblGrid>
      <w:tr>
        <w:trPr>
          <w:cantSplit w:val="true"/>
          <w:tblHeader w:val="true"/>
        </w:trPr>
        <w:tc>
          <w:tcPr>
            <w:tcW w:type="dxa" w:w="13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5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9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6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</w:p>
        </w:tc>
        <w:tc>
          <w:tcPr>
            <w:tcW w:type="dxa" w:w="1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 پرداخت</w:t>
            </w:r>
          </w:p>
        </w:tc>
        <w:tc>
          <w:tcPr>
            <w:tcW w:type="dxa" w:w="1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لیست بیمه/مالیات</w:t>
            </w:r>
          </w:p>
        </w:tc>
        <w:tc>
          <w:tcPr>
            <w:tcW w:type="dxa" w:w="1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42"/>
        <w:gridCol w:w="1988"/>
        <w:gridCol w:w="2071"/>
        <w:gridCol w:w="1739"/>
        <w:gridCol w:w="1242"/>
        <w:gridCol w:w="1078"/>
      </w:tblGrid>
      <w:tr>
        <w:trPr>
          <w:cantSplit w:val="true"/>
          <w:tblHeader w:val="true"/>
        </w:trPr>
        <w:tc>
          <w:tcPr>
            <w:tcW w:type="dxa" w:w="12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9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0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73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2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‎Payroll/HRIS‎</w:t>
            </w:r>
          </w:p>
        </w:tc>
        <w:tc>
          <w:tcPr>
            <w:tcW w:type="dxa" w:w="19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جمع‌آوری تغییرات و حضور</w:t>
            </w:r>
          </w:p>
        </w:tc>
        <w:tc>
          <w:tcPr>
            <w:tcW w:type="dxa" w:w="20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</w:p>
        </w:tc>
        <w:tc>
          <w:tcPr>
            <w:tcW w:type="dxa" w:w="19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محاسبه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‎gross-to-net‎</w:t>
            </w:r>
          </w:p>
        </w:tc>
        <w:tc>
          <w:tcPr>
            <w:tcW w:type="dxa" w:w="20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‎Attendance‎</w:t>
            </w:r>
          </w:p>
        </w:tc>
        <w:tc>
          <w:tcPr>
            <w:tcW w:type="dxa" w:w="19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  <w:tc>
          <w:tcPr>
            <w:tcW w:type="dxa" w:w="20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portal‎</w:t>
            </w:r>
          </w:p>
        </w:tc>
        <w:tc>
          <w:tcPr>
            <w:tcW w:type="dxa" w:w="19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ارسال پرداخت/لیست‌ها</w:t>
            </w:r>
          </w:p>
        </w:tc>
        <w:tc>
          <w:tcPr>
            <w:tcW w:type="dxa" w:w="20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‎Tax/SSO portals‎</w:t>
            </w:r>
          </w:p>
        </w:tc>
        <w:tc>
          <w:tcPr>
            <w:tcW w:type="dxa" w:w="19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محرمانه و اصلاح خطا</w:t>
            </w:r>
          </w:p>
        </w:tc>
        <w:tc>
          <w:tcPr>
            <w:tcW w:type="dxa" w:w="20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«جمع‌آوری تغییرات و حضور»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‎on-time rate‎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بهتر اما «نرخ اصلاح»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‎Payroll/HRIS‎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«فایل پرداخت»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افت «دقت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«زمان پاسخ»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«انطباق و محرمانگی»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هوش مصنوعی را برای «ارسال پرداخت/لیست‌ها»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نمونه‌ای بگویید که «محاسبه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‎gross-to-net‎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داده یا سند لازم برای «کنترل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میان ذی‌نفعانِ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توجه به اینکه یک خطای کوچک برای صدها نفر اثر شخصی و حقوقی دارد؛ مهلت پایان ماه، داده دیرهنگام و محرمانگی امکان آزمون‌وخطای آزاد را کم می‌کند،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«جمع‌آوری تغییرات و حضور»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«محاسبه </w:t>
      </w:r>
      <w:r>
        <w:rPr>
          <w:rFonts w:ascii="Arial" w:hAnsi="Arial" w:cs="Arial" w:eastAsia="Arial"/>
          <w:b w:val="0"/>
          <w:sz w:val="22"/>
          <w:rtl w:val="0"/>
        </w:rPr>
        <w:t>‎gross-to-net‎</w:t>
      </w:r>
      <w:r>
        <w:rPr>
          <w:rFonts w:ascii="Arial" w:hAnsi="Arial" w:cs="Arial" w:eastAsia="Arial"/>
          <w:b w:val="0"/>
          <w:sz w:val="22"/>
          <w:rtl/>
        </w:rPr>
        <w:t>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«دقت </w:t>
      </w:r>
      <w:r>
        <w:rPr>
          <w:rFonts w:ascii="Arial" w:hAnsi="Arial" w:cs="Arial" w:eastAsia="Arial"/>
          <w:b w:val="0"/>
          <w:sz w:val="22"/>
          <w:rtl w:val="0"/>
        </w:rPr>
        <w:t>‎payroll‎</w:t>
      </w:r>
      <w:r>
        <w:rPr>
          <w:rFonts w:ascii="Arial" w:hAnsi="Arial" w:cs="Arial" w:eastAsia="Arial"/>
          <w:b w:val="0"/>
          <w:sz w:val="22"/>
          <w:rtl/>
        </w:rPr>
        <w:t xml:space="preserve">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</w:t>
      </w:r>
      <w:r>
        <w:rPr>
          <w:rFonts w:ascii="Arial" w:hAnsi="Arial" w:cs="Arial" w:eastAsia="Arial"/>
          <w:b w:val="0"/>
          <w:sz w:val="22"/>
          <w:rtl w:val="0"/>
        </w:rPr>
        <w:t>‎on-time rate‎</w:t>
      </w:r>
      <w:r>
        <w:rPr>
          <w:rFonts w:ascii="Arial" w:hAnsi="Arial" w:cs="Arial" w:eastAsia="Arial"/>
          <w:b w:val="0"/>
          <w:sz w:val="22"/>
          <w:rtl/>
        </w:rPr>
        <w:t xml:space="preserve">» بهتر اما «نرخ اصلاح»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‎payroll register‎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‎PayrollOrg Getting the World Paid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‎https://payroll.org/news-resources/news/news-detail/2025/07/02/navigating-compliance-strategy-in-a-complex-global-market-global-payroll-week-2025-survey-results-in-review‎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‎ACCA Global Talent Trends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‎https://www.accaglobal.com/crsh/en/professional-insights/pro-accountants-the-future/global-talent-trends-2025.html‎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‎ACCA Global Talent Trends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‎https://www.accaglobal.com/content/dam/ACCA_Global/professional-insights/GTT-2026/gtt-2026-final.pdf‎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‎CIPD Good Work Index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‎https://www.cipd.org/uk/knowledge/reports/goodwork/‎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بیشترین فشار از تغییرات دیرهنگام و </w:t>
      </w:r>
      <w:r>
        <w:rPr>
          <w:rFonts w:ascii="Arial" w:hAnsi="Arial" w:cs="Arial" w:eastAsia="Arial"/>
          <w:b w:val="0"/>
          <w:sz w:val="22"/>
          <w:rtl w:val="0"/>
        </w:rPr>
        <w:t>‎exception‎</w:t>
      </w:r>
      <w:r>
        <w:rPr>
          <w:rFonts w:ascii="Arial" w:hAnsi="Arial" w:cs="Arial" w:eastAsia="Arial"/>
          <w:b w:val="0"/>
          <w:sz w:val="22"/>
          <w:rtl/>
        </w:rPr>
        <w:t>ها می‌آید، نه فرمول پایه.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اصلاح دستی بدون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تأیید دوم و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 xml:space="preserve"> دوره بعد.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اعتماد سازمان و تسلط بر چرخه حساس دلیل ماندن است؛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دائمی و کمبود </w:t>
      </w:r>
      <w:r>
        <w:rPr>
          <w:rFonts w:ascii="Arial" w:hAnsi="Arial" w:cs="Arial" w:eastAsia="Arial"/>
          <w:b w:val="0"/>
          <w:sz w:val="22"/>
          <w:rtl w:val="0"/>
        </w:rPr>
        <w:t>‎backup‎</w:t>
      </w:r>
      <w:r>
        <w:rPr>
          <w:rFonts w:ascii="Arial" w:hAnsi="Arial" w:cs="Arial" w:eastAsia="Arial"/>
          <w:b w:val="0"/>
          <w:sz w:val="22"/>
          <w:rtl/>
        </w:rPr>
        <w:t xml:space="preserve">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‎payroll‎</w:t>
      </w:r>
      <w:r>
        <w:rPr>
          <w:rFonts w:ascii="Arial" w:hAnsi="Arial" w:cs="Arial" w:eastAsia="Arial"/>
          <w:b w:val="0"/>
          <w:sz w:val="22"/>
          <w:rtl/>
        </w:rPr>
        <w:t xml:space="preserve"> کوچک بی‌نام با </w:t>
      </w:r>
      <w:r>
        <w:rPr>
          <w:rFonts w:ascii="Arial" w:hAnsi="Arial" w:cs="Arial" w:eastAsia="Arial"/>
          <w:b w:val="0"/>
          <w:sz w:val="22"/>
          <w:rtl w:val="0"/>
        </w:rPr>
        <w:t>‎gross-to-net‎</w:t>
      </w:r>
      <w:r>
        <w:rPr>
          <w:rFonts w:ascii="Arial" w:hAnsi="Arial" w:cs="Arial" w:eastAsia="Arial"/>
          <w:b w:val="0"/>
          <w:sz w:val="22"/>
          <w:rtl/>
        </w:rPr>
        <w:t>، لیست کنترل و سناریوی اصلاح طراحی می‌کرد.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89"/>
        <w:gridCol w:w="1888"/>
        <w:gridCol w:w="1888"/>
        <w:gridCol w:w="1888"/>
        <w:gridCol w:w="188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8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عملیات منابع انسانی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 Operations‎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تکیه دارند؛ در «عملیات منابع انسانی» این اشتراک مشخصاً با تمرکز بر اداره تجربه و ریسک نیروی انسانی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عملیات منابع انسانی عمدتاً مالک «سیاست، پرونده، استخدام یا برنامه افراد»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کارمند/نامزد و مدیران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سامانه‌های قانونی؛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‎HRIS/ATS‎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جبران خدمات و مزایا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‎Compensation‎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‎Benefits‎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تکیه دارند؛ در «جبران خدمات و مزایا» این اشتراک مشخصاً با تمرکز بر اداره تجربه و ریسک نیروی انسانی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جبران خدمات و مزایا عمدتاً مالک «سیاست، پرونده، استخدام یا برنامه افراد»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کارمند/نامزد و مدیران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سامانه‌های قانونی؛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‎HRIS/ATS‎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مالیاتی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Accounting‎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تکیه دارند؛ در «حسابداری مالیاتی» این اشتراک مشخصاً با تمرکز بر کنترل عدد، ریسک و انطباق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حسابداری مالیاتی عمدتاً مالک «ثبت/گزارش مالی، آزمون کنترل یا تحلیل نقد»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سامانه‌های قانونی؛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خزانه‌داری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تکیه دارند؛ در «خزانه‌داری» این اشتراک مشخصاً با تمرکز بر کنترل جریان کالا، سند و ظرفیت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خزانه‌داری عمدتاً مالک «سفارش/حمل/موجودی یا برنامه تأمین»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تأمین‌کننده، عملیات و مالی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سامانه‌های قانونی؛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‎ERP/TMS‎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اسناد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تکیه دارند؛ در «حسابداری مالی» این اشتراک مشخصاً با تمرکز بر کنترل عدد، ریسک و انطباق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حسابداری مالی عمدتاً مالک «ثبت/گزارش مالی، آزمون کنترل یا تحلیل نقد»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سامانه‌های قانونی؛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 Administration‎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خزانه، مالیات و بیمه تکیه دارند؛ در «مدیریت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این اشتراک مشخصاً با تمرکز بر اداره تجربه و ریسک نیروی انسانی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«سیاست، پرونده، استخدام یا برنامه افراد»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کارمند/نامزد و مدیران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سامانه‌های قانونی؛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‎HRIS/ATS‎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89"/>
        <w:gridCol w:w="1888"/>
        <w:gridCol w:w="1888"/>
        <w:gridCol w:w="1888"/>
        <w:gridCol w:w="188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8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عملیات منابع انسانی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 Operations‎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تعامل زیاد؛ آمار کم تا متوسط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نیازمند قانون/فرایند و اعتماد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اثر شخصی و حقوقی خطای کوچک بر تعداد زیادی کارمند؛ مسیر نزدیک: محرمانگی و تعارض انسانی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تخصص، سرپرستی، مدیریت مالی یا مشاوره؛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‎HRBP‎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تخصص یا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جبران خدمات و مزایا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‎Compensation‎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‎Benefits‎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تعامل زیاد؛ آمار کم تا متوسط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نیازمند قانون/فرایند و اعتماد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اثر شخصی و حقوقی خطای کوچک بر تعداد زیادی کارمند؛ مسیر نزدیک: محرمانگی و تعارض انسانی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تخصص، سرپرستی، مدیریت مالی یا مشاوره؛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‎HRBP‎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تخصص یا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مالیاتی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Accounting‎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اثر شخصی و حقوقی خطای کوچک بر تعداد زیادی کارمند؛ مسیر نزدیک: مهلت، شواهد ناقص و مسئولیت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خزانه‌داری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عملیاتی متوسط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شناخت فرایند/صنعت لازم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اثر شخصی و حقوقی خطای کوچک بر تعداد زیادی کارمند؛ مسیر نزدیک: استثنا، موعد و وابستگی بیرونی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مدیریت عملیات/زنجیره تأمین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اثر شخصی و حقوقی خطای کوچک بر تعداد زیادی کارمند؛ مسیر نزدیک: مهلت، شواهد ناقص و مسئولیت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 Administration‎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تعامل زیاد؛ آمار کم تا متوسط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نیازمند قانون/فرایند و اعتماد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اثر شخصی و حقوقی خطای کوچک بر تعداد زیادی کارمند؛ مسیر نزدیک: محرمانگی و تعارض انسانی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تخصص، سرپرستی، مدیریت مالی یا مشاوره؛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‎HRBP‎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تخصص یا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3367"/>
        <w:gridCol w:w="336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3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3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عملیات منابع انسانی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 Operations‎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اداریات سریع‌تر؛ انصاف و اعتماد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«عملیات منابع انسانی»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جبران خدمات و مزایا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‎Compensation‎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‎Benefits‎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اداریات سریع‌تر؛ انصاف و اعتماد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«جبران خدمات و مزایا»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مالیاتی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Accounting‎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«حسابداری مالیاتی»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خزانه‌داری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برنامه و هشدار کمک می‌گیرد؛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«خزانه‌داری»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«حسابداری مالی»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 Administration‎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اداریات سریع‌تر؛ انصاف و اعتماد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جمع‌آوری تغییرات و حضور، محاسبه </w:t>
      </w:r>
      <w:r>
        <w:rPr>
          <w:rFonts w:ascii="Arial" w:hAnsi="Arial" w:cs="Arial" w:eastAsia="Arial"/>
          <w:b w:val="0"/>
          <w:sz w:val="22"/>
          <w:rtl w:val="0"/>
        </w:rPr>
        <w:t>‎gross-to-net‎</w:t>
      </w:r>
      <w:r>
        <w:rPr>
          <w:rFonts w:ascii="Arial" w:hAnsi="Arial" w:cs="Arial" w:eastAsia="Arial"/>
          <w:b w:val="0"/>
          <w:sz w:val="22"/>
          <w:rtl/>
        </w:rPr>
        <w:t xml:space="preserve">، کنترل و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>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خطای کوچک برای صدها نفر اثر شخصی و حقوقی دارد؛ مهلت پایان ماه، داده دیرهنگام و محرمانگی امکان آزمون‌وخطای آزاد را کم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‎payroll register‎</w:t>
      </w:r>
      <w:r>
        <w:rPr>
          <w:rFonts w:ascii="Arial" w:hAnsi="Arial" w:cs="Arial" w:eastAsia="Arial"/>
          <w:b w:val="0"/>
          <w:sz w:val="22"/>
          <w:rtl/>
        </w:rPr>
        <w:t xml:space="preserve"> و فایل پرداخت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محاسبه </w:t>
      </w:r>
      <w:r>
        <w:rPr>
          <w:rFonts w:ascii="Arial" w:hAnsi="Arial" w:cs="Arial" w:eastAsia="Arial"/>
          <w:b w:val="0"/>
          <w:sz w:val="22"/>
          <w:rtl w:val="0"/>
        </w:rPr>
        <w:t>‎gross-to-net‎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Specialist‎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حقوق، مزایا، کسورات، مالیات و بیمه دوره‌ای کارکنان را دقیق، محرمانه و به‌موقع محاسبه و تسویه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خطای کوچک برای صدها نفر اثر شخصی و حقوقی دارد؛ مهلت پایان ماه، داده دیرهنگام و محرمانگی امکان آزمون‌وخطای آزاد را کم می‌کند.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کار/بیمه/مالیات حقوق، محاسبات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نرم‌افزار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محرمانگی و ارتباط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‎Payroll/HRIS‎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‎Attendance‎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portal‎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‎Tax/SSO portals‎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56"/>
        <w:gridCol w:w="5466"/>
        <w:gridCol w:w="2938"/>
      </w:tblGrid>
      <w:tr>
        <w:trPr>
          <w:cantSplit w:val="true"/>
          <w:tblHeader w:val="true"/>
        </w:trPr>
        <w:tc>
          <w:tcPr>
            <w:tcW w:type="dxa" w:w="9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9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خطای کوچک برای صدها نفر اثر شخصی و حقوقی دارد؛ مهلت پایان ماه، داده دیرهنگام و محرمانگی امکان آزمون‌وخطای آزاد را کم می‌کند.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ماه/سال، ممیزی، پرداخت یا مهلت قانونی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جمع‌آوری تغییرات و حضور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محاسبه </w:t>
      </w:r>
      <w:r>
        <w:rPr>
          <w:rFonts w:ascii="Arial" w:hAnsi="Arial" w:cs="Arial" w:eastAsia="Arial"/>
          <w:b w:val="0"/>
          <w:sz w:val="22"/>
          <w:rtl w:val="0"/>
        </w:rPr>
        <w:t>‎gross-to-net‎</w:t>
      </w:r>
      <w:r>
        <w:rPr>
          <w:rFonts w:ascii="Arial" w:hAnsi="Arial" w:cs="Arial" w:eastAsia="Arial"/>
          <w:b w:val="0"/>
          <w:sz w:val="22"/>
          <w:rtl/>
        </w:rPr>
        <w:t xml:space="preserve">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بهبود دقت </w:t>
      </w:r>
      <w:r>
        <w:rPr>
          <w:rFonts w:ascii="Arial" w:hAnsi="Arial" w:cs="Arial" w:eastAsia="Arial"/>
          <w:b w:val="0"/>
          <w:sz w:val="22"/>
          <w:rtl w:val="0"/>
        </w:rPr>
        <w:t>‎payroll‎</w:t>
      </w:r>
      <w:r>
        <w:rPr>
          <w:rFonts w:ascii="Arial" w:hAnsi="Arial" w:cs="Arial" w:eastAsia="Arial"/>
          <w:b w:val="0"/>
          <w:sz w:val="22"/>
          <w:rtl/>
        </w:rPr>
        <w:t xml:space="preserve">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‎on-time rate‎</w:t>
      </w:r>
      <w:r>
        <w:rPr>
          <w:rFonts w:ascii="Arial" w:hAnsi="Arial" w:cs="Arial" w:eastAsia="Arial"/>
          <w:b w:val="0"/>
          <w:sz w:val="22"/>
          <w:rtl/>
        </w:rPr>
        <w:t xml:space="preserve"> بهتر و نرخ اصلاح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‎payroll register‎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34"/>
        <w:gridCol w:w="1001"/>
        <w:gridCol w:w="3403"/>
        <w:gridCol w:w="340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8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4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4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منابع انسانی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 Operations‎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تکیه دارند؛ در «عملیات منابع انسانی» این اشتراک مشخصاً با تمرکز بر اداره تجربه و ریسک نیروی انسانی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عملیات منابع انسانی عمدتاً مالک «سیاست، پرونده، استخدام یا برنامه افراد»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جبران خدمات و مزایا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‎Compensation‎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‎Benefits‎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تکیه دارند؛ در «جبران خدمات و مزایا» این اشتراک مشخصاً با تمرکز بر اداره تجربه و ریسک نیروی انسانی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جبران خدمات و مزایا عمدتاً مالک «سیاست، پرونده، استخدام یا برنامه افراد»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مالیاتی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Accounting‎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تکیه دارند؛ در «حسابداری مالیاتی» این اشتراک مشخصاً با تمرکز بر کنترل عدد، ریسک و انطباق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حسابداری مالیاتی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خزانه‌داری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تکیه دارند؛ در «خزانه‌داری» این اشتراک مشخصاً با تمرکز بر کنترل جریان کالا، سند و ظرفیت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خزانه‌داری عمدتاً مالک «سفارش/حمل/موجودی یا برنامه تأمین»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مالی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خزانه، مالیات و بیمه تکیه دارند؛ در «حسابداری مالی» این اشتراک مشخصاً با تمرکز بر کنترل عدد، ریسک و انطباق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حسابداری مالی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 Administration‎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داده پرسنلی، محاسبه، پرداخت و انطباق و هماهنگی با کارکنان،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خزانه، مالیات و بیمه تکیه دارند؛ در «مدیریت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این اشتراک مشخصاً با تمرکز بر اداره تجربه و ریسک نیروی انسانی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حقوق و دستمزد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 register‎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فایل پرداخت، لیست بیمه/مالیات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«سیاست، پرونده، استخدام یا برنامه افراد»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55"/>
        <w:gridCol w:w="720"/>
        <w:gridCol w:w="720"/>
        <w:gridCol w:w="770"/>
        <w:gridCol w:w="720"/>
        <w:gridCol w:w="285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7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Payroll Specialist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‎The direct Iran title page was readable but may have a small point-in-time sample and commonly overlaps compensation‎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 administration‎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accounting.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سامانه مؤدیان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جاری/پایه ۱۳۹۸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دیجیتالی‌شدن تکلیف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‎VAT 1400‎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۱۴۰۰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انطباق مالیاتی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43-3051.00‎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43-3051.00‎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‎BLS OEWS‎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حقوق/اشتغال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Payroll Specialist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‎The direct Iran title page was readable but may have a small point-in-time sample and commonly overlaps compensation‎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 administration‎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accounting.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‎PayrollOrg Getting the World Paid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‎ACCA Global Talent Trends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‎ACCA Global Talent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‎CIPD Good Work Index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کارشناس حقوق و دستمزد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payroll-specialist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nezamat.ir/post-41585/" TargetMode="External"/><Relationship Id="rId24" Type="http://schemas.openxmlformats.org/officeDocument/2006/relationships/hyperlink" Target="https://nezamat.ir/post-42774/" TargetMode="External"/><Relationship Id="rId25" Type="http://schemas.openxmlformats.org/officeDocument/2006/relationships/hyperlink" Target="https://www.onetonline.org/link/summary/43-3051.00" TargetMode="External"/><Relationship Id="rId26" Type="http://schemas.openxmlformats.org/officeDocument/2006/relationships/hyperlink" Target="https://isco.ilo.org/en/isco-08/" TargetMode="External"/><Relationship Id="rId27" Type="http://schemas.openxmlformats.org/officeDocument/2006/relationships/hyperlink" Target="https://www.bls.gov/oes/" TargetMode="External"/><Relationship Id="rId28" Type="http://schemas.openxmlformats.org/officeDocument/2006/relationships/hyperlink" Target="https://www.jobbank.gc.ca/trend-analysis/search-wages" TargetMode="External"/><Relationship Id="rId29" Type="http://schemas.openxmlformats.org/officeDocument/2006/relationships/hyperlink" Target="https://www.ons.gov.uk/employmentandlabourmarket/peopleinwork/earningsandworkinghours/bulletins/annualsurveyofhoursandearnings/2025" TargetMode="External"/><Relationship Id="rId30" Type="http://schemas.openxmlformats.org/officeDocument/2006/relationships/hyperlink" Target="https://www.cedefop.europa.eu/hr/tools/skills-online-vacancies" TargetMode="External"/><Relationship Id="rId31" Type="http://schemas.openxmlformats.org/officeDocument/2006/relationships/hyperlink" Target="https://www.ilo.org/publications/flagship-reports/employment-and-social-trends-2026" TargetMode="External"/><Relationship Id="rId32" Type="http://schemas.openxmlformats.org/officeDocument/2006/relationships/hyperlink" Target="https://www.linkedin.com/jobs/search/?keywords=Payroll%20Specialist&amp;location=Worldwide" TargetMode="External"/><Relationship Id="rId33" Type="http://schemas.openxmlformats.org/officeDocument/2006/relationships/hyperlink" Target="https://www.ilo.org/publications/generative-ai-and-jobs-refined-global-index-occupational-exposure" TargetMode="External"/><Relationship Id="rId34" Type="http://schemas.openxmlformats.org/officeDocument/2006/relationships/hyperlink" Target="https://www.pwc.com/gx/en/issues/artificial-intelligence/publications/artificial-intelligence-study.html" TargetMode="External"/><Relationship Id="rId35" Type="http://schemas.openxmlformats.org/officeDocument/2006/relationships/hyperlink" Target="https://hai.stanford.edu/ai-index/2026-ai-index-report/economy" TargetMode="External"/><Relationship Id="rId36" Type="http://schemas.openxmlformats.org/officeDocument/2006/relationships/hyperlink" Target="https://payroll.org/news-resources/news/news-detail/2025/07/02/navigating-compliance-strategy-in-a-complex-global-market-global-payroll-week-2025-survey-results-in-review" TargetMode="External"/><Relationship Id="rId37" Type="http://schemas.openxmlformats.org/officeDocument/2006/relationships/hyperlink" Target="https://www.accaglobal.com/crsh/en/professional-insights/pro-accountants-the-future/global-talent-trends-2025.html" TargetMode="External"/><Relationship Id="rId38" Type="http://schemas.openxmlformats.org/officeDocument/2006/relationships/hyperlink" Target="https://www.accaglobal.com/content/dam/ACCA_Global/professional-insights/GTT-2026/gtt-2026-final.pdf" TargetMode="External"/><Relationship Id="rId39" Type="http://schemas.openxmlformats.org/officeDocument/2006/relationships/hyperlink" Target="https://www.cipd.org/uk/knowledge/reports/good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کارشناس حقوق و دستمزد | Payroll Specialist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