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بازاریاب محتوا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Content Marketer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عنوان آماری واحد ندارد و میان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13-1161 Marketing Specialists‎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‎27-3043 Writers and Authors‎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تقریبی می‌شود.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نیاز مخاطب و هدف کسب‌وکار را به برنامه محتوایی،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>، دارایی قابل‌انتشار، توزیع و سنجش اثر تبدیل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استراتژی، تولید، توزیع و سنجش محتوا را برای هدف بازاریابی مالک می‌شود؛ کپی‌رایتر، ویراستار یا تولیدکننده صرف الزاماً بازاریاب محتوا نیست.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ساخت محتوای مفید و متمایز که به مخاطب درست برسد و علاوه بر توجه، اعتماد، تقاضا یا نگهداشت ایجاد کند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‎outline‎</w:t>
      </w:r>
      <w:r>
        <w:rPr>
          <w:rFonts w:ascii="Arial" w:hAnsi="Arial" w:cs="Arial" w:eastAsia="Arial"/>
          <w:b w:val="0"/>
          <w:sz w:val="22"/>
          <w:rtl/>
        </w:rPr>
        <w:t xml:space="preserve"> می‌سازد، یک دارایی را طبق </w:t>
      </w:r>
      <w:r>
        <w:rPr>
          <w:rFonts w:ascii="Arial" w:hAnsi="Arial" w:cs="Arial" w:eastAsia="Arial"/>
          <w:b w:val="0"/>
          <w:sz w:val="22"/>
          <w:rtl w:val="0"/>
        </w:rPr>
        <w:t>‎voice‎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تولید/ویرایش، </w:t>
      </w:r>
      <w:r>
        <w:rPr>
          <w:rFonts w:ascii="Arial" w:hAnsi="Arial" w:cs="Arial" w:eastAsia="Arial"/>
          <w:b w:val="0"/>
          <w:sz w:val="22"/>
          <w:rtl w:val="0"/>
        </w:rPr>
        <w:t>‎metadata‎</w:t>
      </w:r>
      <w:r>
        <w:rPr>
          <w:rFonts w:ascii="Arial" w:hAnsi="Arial" w:cs="Arial" w:eastAsia="Arial"/>
          <w:b w:val="0"/>
          <w:sz w:val="22"/>
          <w:rtl/>
        </w:rPr>
        <w:t xml:space="preserve"> و لینک را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 و عملکرد اولیه را ثبت می‌کند.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‎audience/positioning‎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 architecture‎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‎editorial governance‎</w:t>
      </w:r>
      <w:r>
        <w:rPr>
          <w:rFonts w:ascii="Arial" w:hAnsi="Arial" w:cs="Arial" w:eastAsia="Arial"/>
          <w:b w:val="0"/>
          <w:sz w:val="22"/>
          <w:rtl/>
        </w:rPr>
        <w:t xml:space="preserve">، بودجه، </w:t>
      </w:r>
      <w:r>
        <w:rPr>
          <w:rFonts w:ascii="Arial" w:hAnsi="Arial" w:cs="Arial" w:eastAsia="Arial"/>
          <w:b w:val="0"/>
          <w:sz w:val="22"/>
          <w:rtl w:val="0"/>
        </w:rPr>
        <w:t>‎distribution mix‎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‎repurposing‎</w:t>
      </w:r>
      <w:r>
        <w:rPr>
          <w:rFonts w:ascii="Arial" w:hAnsi="Arial" w:cs="Arial" w:eastAsia="Arial"/>
          <w:b w:val="0"/>
          <w:sz w:val="22"/>
          <w:rtl/>
        </w:rPr>
        <w:t xml:space="preserve"> و نسبت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به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محتوای مفید و متمایز که به مخاطب درست برسد و علاوه بر توجه، اعتماد، تقاضا یا نگهداشت ایجاد کند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84"/>
        <w:gridCol w:w="1440"/>
        <w:gridCol w:w="1440"/>
        <w:gridCol w:w="933"/>
        <w:gridCol w:w="1619"/>
        <w:gridCol w:w="720"/>
        <w:gridCol w:w="2424"/>
      </w:tblGrid>
      <w:tr>
        <w:trPr>
          <w:cantSplit w:val="true"/>
          <w:tblHeader w:val="true"/>
        </w:trPr>
        <w:tc>
          <w:tcPr>
            <w:tcW w:type="dxa" w:w="7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‎Audience/content strategy‎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محتوا و توضیح اثر آن</w:t>
            </w:r>
          </w:p>
        </w:tc>
        <w:tc>
          <w:tcPr>
            <w:tcW w:type="dxa" w:w="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‎mini 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‎editorial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‎SEO/distribution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‎CMS/editorial workflow‎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انتشار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‎mini 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‎editorial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‎SEO/distribution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‎SEO/Search Console‎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کشف تقاضا و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‎organic‎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‎mini 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‎editorial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‎SEO/distribution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‎Analytics/UTM‎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اتصال محتوا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‎mini 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‎editorial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‎SEO/distribution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‎Brief/project tools‎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هماهنگی نویسنده/طراح و توضیح اثر آن</w:t>
            </w:r>
          </w:p>
        </w:tc>
        <w:tc>
          <w:tcPr>
            <w:tcW w:type="dxa" w:w="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‎mini 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یک محصول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 research‎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‎editorial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‎SEO/distribution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یک </w:t>
      </w:r>
      <w:r>
        <w:rPr>
          <w:rFonts w:ascii="Arial" w:hAnsi="Arial" w:cs="Arial" w:eastAsia="Arial"/>
          <w:b w:val="0"/>
          <w:sz w:val="22"/>
          <w:rtl w:val="0"/>
        </w:rPr>
        <w:t>‎mini content program‎</w:t>
      </w:r>
      <w:r>
        <w:rPr>
          <w:rFonts w:ascii="Arial" w:hAnsi="Arial" w:cs="Arial" w:eastAsia="Arial"/>
          <w:b w:val="0"/>
          <w:sz w:val="22"/>
          <w:rtl/>
        </w:rPr>
        <w:t xml:space="preserve"> برای یک محصول با </w:t>
      </w:r>
      <w:r>
        <w:rPr>
          <w:rFonts w:ascii="Arial" w:hAnsi="Arial" w:cs="Arial" w:eastAsia="Arial"/>
          <w:b w:val="0"/>
          <w:sz w:val="22"/>
          <w:rtl w:val="0"/>
        </w:rPr>
        <w:t>‎audience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‎strategy memo‎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‎editorial calendar‎</w:t>
      </w:r>
      <w:r>
        <w:rPr>
          <w:rFonts w:ascii="Arial" w:hAnsi="Arial" w:cs="Arial" w:eastAsia="Arial"/>
          <w:b w:val="0"/>
          <w:sz w:val="22"/>
          <w:rtl/>
        </w:rPr>
        <w:t xml:space="preserve">، سه قالب، </w:t>
      </w:r>
      <w:r>
        <w:rPr>
          <w:rFonts w:ascii="Arial" w:hAnsi="Arial" w:cs="Arial" w:eastAsia="Arial"/>
          <w:b w:val="0"/>
          <w:sz w:val="22"/>
          <w:rtl w:val="0"/>
        </w:rPr>
        <w:t>‎SEO/distribution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‎retrospective.‎</w:t>
      </w:r>
      <w:r>
        <w:rPr>
          <w:rFonts w:ascii="Arial" w:hAnsi="Arial" w:cs="Arial" w:eastAsia="Arial"/>
          <w:b w:val="0"/>
          <w:sz w:val="22"/>
          <w:rtl/>
        </w:rPr>
        <w:t xml:space="preserve">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فناوری، آموزش، سلامت، کالاهای مصرفی، </w:t>
      </w:r>
      <w:r>
        <w:rPr>
          <w:rFonts w:ascii="Arial" w:hAnsi="Arial" w:cs="Arial" w:eastAsia="Arial"/>
          <w:b w:val="0"/>
          <w:sz w:val="22"/>
          <w:rtl w:val="0"/>
        </w:rPr>
        <w:t>‎B2B‎</w:t>
      </w:r>
      <w:r>
        <w:rPr>
          <w:rFonts w:ascii="Arial" w:hAnsi="Arial" w:cs="Arial" w:eastAsia="Arial"/>
          <w:b w:val="0"/>
          <w:sz w:val="22"/>
          <w:rtl/>
        </w:rPr>
        <w:t xml:space="preserve"> و آژانس؛ مرز نویسندگی، </w:t>
      </w:r>
      <w:r>
        <w:rPr>
          <w:rFonts w:ascii="Arial" w:hAnsi="Arial" w:cs="Arial" w:eastAsia="Arial"/>
          <w:b w:val="0"/>
          <w:sz w:val="22"/>
          <w:rtl w:val="0"/>
        </w:rPr>
        <w:t>‎SEO‎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‎social‎</w:t>
      </w:r>
      <w:r>
        <w:rPr>
          <w:rFonts w:ascii="Arial" w:hAnsi="Arial" w:cs="Arial" w:eastAsia="Arial"/>
          <w:b w:val="0"/>
          <w:sz w:val="22"/>
          <w:rtl/>
        </w:rPr>
        <w:t xml:space="preserve"> در تیم کوچک اغلب مبهم است.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‎strategy‎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‎calendar‎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‎writing/editing‎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‎CMS‎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‎analytics‎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‎stakeholder interview‎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پروژه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چهار موقعیت محتوایی بازاریابی/مدیریت محتوا پس از حذف ترجمه صرف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قابل‌شمارش بود؛ فقط یک مورد عنوان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‎Content Marketing Specialist‎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داشت.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‎strategy‎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‎calendar‎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‎writing/editing‎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‎CMS‎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‎analytics‎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‎stakeholder interview‎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پروژه.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فناوری، آموزش، سلامت، کالاهای مصرفی، </w:t>
      </w:r>
      <w:r>
        <w:rPr>
          <w:rFonts w:ascii="Arial" w:hAnsi="Arial" w:cs="Arial" w:eastAsia="Arial"/>
          <w:b w:val="0"/>
          <w:sz w:val="22"/>
          <w:rtl w:val="0"/>
        </w:rPr>
        <w:t>‎B2B‎</w:t>
      </w:r>
      <w:r>
        <w:rPr>
          <w:rFonts w:ascii="Arial" w:hAnsi="Arial" w:cs="Arial" w:eastAsia="Arial"/>
          <w:b w:val="0"/>
          <w:sz w:val="22"/>
          <w:rtl/>
        </w:rPr>
        <w:t xml:space="preserve"> و آژانس؛ مرز نویسندگی، </w:t>
      </w:r>
      <w:r>
        <w:rPr>
          <w:rFonts w:ascii="Arial" w:hAnsi="Arial" w:cs="Arial" w:eastAsia="Arial"/>
          <w:b w:val="0"/>
          <w:sz w:val="22"/>
          <w:rtl w:val="0"/>
        </w:rPr>
        <w:t>‎SEO‎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‎social‎</w:t>
      </w:r>
      <w:r>
        <w:rPr>
          <w:rFonts w:ascii="Arial" w:hAnsi="Arial" w:cs="Arial" w:eastAsia="Arial"/>
          <w:b w:val="0"/>
          <w:sz w:val="22"/>
          <w:rtl/>
        </w:rPr>
        <w:t xml:space="preserve"> در تیم کوچک اغلب مبهم است.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بازاریاب محتوا،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مزد را برای خانواده </w:t>
      </w:r>
      <w:r>
        <w:rPr>
          <w:rFonts w:ascii="Arial" w:hAnsi="Arial" w:cs="Arial" w:eastAsia="Arial"/>
          <w:b w:val="0"/>
          <w:sz w:val="22"/>
          <w:rtl w:val="0"/>
        </w:rPr>
        <w:t>‎Writers and Authors‎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می‌کند، نه </w:t>
      </w:r>
      <w:r>
        <w:rPr>
          <w:rFonts w:ascii="Arial" w:hAnsi="Arial" w:cs="Arial" w:eastAsia="Arial"/>
          <w:b w:val="0"/>
          <w:sz w:val="22"/>
          <w:rtl w:val="0"/>
        </w:rPr>
        <w:t>‎Content Marketing‎</w:t>
      </w:r>
      <w:r>
        <w:rPr>
          <w:rFonts w:ascii="Arial" w:hAnsi="Arial" w:cs="Arial" w:eastAsia="Arial"/>
          <w:b w:val="0"/>
          <w:sz w:val="22"/>
          <w:rtl/>
        </w:rPr>
        <w:t xml:space="preserve">؛ قرارداد </w:t>
      </w:r>
      <w:r>
        <w:rPr>
          <w:rFonts w:ascii="Arial" w:hAnsi="Arial" w:cs="Arial" w:eastAsia="Arial"/>
          <w:b w:val="0"/>
          <w:sz w:val="22"/>
          <w:rtl w:val="0"/>
        </w:rPr>
        <w:t>‎freelance‎</w:t>
      </w:r>
      <w:r>
        <w:rPr>
          <w:rFonts w:ascii="Arial" w:hAnsi="Arial" w:cs="Arial" w:eastAsia="Arial"/>
          <w:b w:val="0"/>
          <w:sz w:val="22"/>
          <w:rtl/>
        </w:rPr>
        <w:t xml:space="preserve">، صنعت و مالکیت </w:t>
      </w:r>
      <w:r>
        <w:rPr>
          <w:rFonts w:ascii="Arial" w:hAnsi="Arial" w:cs="Arial" w:eastAsia="Arial"/>
          <w:b w:val="0"/>
          <w:sz w:val="22"/>
          <w:rtl w:val="0"/>
        </w:rPr>
        <w:t>‎strategy‎</w:t>
      </w:r>
      <w:r>
        <w:rPr>
          <w:rFonts w:ascii="Arial" w:hAnsi="Arial" w:cs="Arial" w:eastAsia="Arial"/>
          <w:b w:val="0"/>
          <w:sz w:val="22"/>
          <w:rtl/>
        </w:rPr>
        <w:t xml:space="preserve"> دامنه را به‌شدت تغییر می‌دهد.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74"/>
        <w:gridCol w:w="2537"/>
        <w:gridCol w:w="1312"/>
        <w:gridCol w:w="1050"/>
        <w:gridCol w:w="1312"/>
        <w:gridCol w:w="875"/>
      </w:tblGrid>
      <w:tr>
        <w:trPr>
          <w:cantSplit w:val="true"/>
          <w:tblHeader w:val="true"/>
        </w:trPr>
        <w:tc>
          <w:tcPr>
            <w:tcW w:type="dxa" w:w="22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0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8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‎Audience/content strategy‎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محتوا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‎CMS/editorial workflow‎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انتشار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‎SEO/Search Console‎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کشف تقاضا و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‎organic‎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‎Analytics/UTM‎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اتصال محتوا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‎Brief/project tools‎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هماهنگی نویسنده/طراح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‎Design/video collaboration‎</w:t>
            </w:r>
          </w:p>
        </w:tc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‎repurpose‎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توزیع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</w:t>
            </w:r>
          </w:p>
        </w:tc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26"/>
        <w:gridCol w:w="772"/>
        <w:gridCol w:w="863"/>
        <w:gridCol w:w="1999"/>
        <w:gridCol w:w="2500"/>
      </w:tblGrid>
      <w:tr>
        <w:trPr>
          <w:cantSplit w:val="true"/>
          <w:tblHeader w:val="true"/>
        </w:trPr>
        <w:tc>
          <w:tcPr>
            <w:tcW w:type="dxa" w:w="32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بازاریاب محتوا را از مسئله تا نتیجه و یادگیری توضیح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‎Audience/content 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36"/>
        <w:gridCol w:w="796"/>
        <w:gridCol w:w="796"/>
        <w:gridCol w:w="2059"/>
        <w:gridCol w:w="2573"/>
      </w:tblGrid>
      <w:tr>
        <w:trPr>
          <w:cantSplit w:val="true"/>
          <w:tblHeader w:val="true"/>
        </w:trPr>
        <w:tc>
          <w:tcPr>
            <w:tcW w:type="dxa" w:w="31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‎CMS/editorial 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7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501"/>
        <w:gridCol w:w="1768"/>
        <w:gridCol w:w="2931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5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7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 محتوای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Content Creator‎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ایده، روایت و دارایی مشترک است.</w:t>
            </w:r>
          </w:p>
        </w:tc>
        <w:tc>
          <w:tcPr>
            <w:tcW w:type="dxa" w:w="2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پلتفرم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تقاضای جست‌وجو و محتوای مفید مشترک‌اند.</w:t>
            </w:r>
          </w:p>
        </w:tc>
        <w:tc>
          <w:tcPr>
            <w:tcW w:type="dxa" w:w="2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technical/indexing‎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‎organic visibility‎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وعده و معماری برند را هدایت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توزیع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چند کانال را اجرا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نویسنده/کپی‌رایتر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‎Copywriter‎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 نوشتن مشترک است.</w:t>
            </w:r>
          </w:p>
        </w:tc>
        <w:tc>
          <w:tcPr>
            <w:tcW w:type="dxa" w:w="2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کپی‌رایتر متن را تحویل می‌دهد؛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برنامه و نتیجه را.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تولید دارایی مشترک است.</w:t>
            </w:r>
          </w:p>
        </w:tc>
        <w:tc>
          <w:tcPr>
            <w:tcW w:type="dxa" w:w="2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حل مسئله بصری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834"/>
        <w:gridCol w:w="962"/>
        <w:gridCol w:w="894"/>
        <w:gridCol w:w="1440"/>
        <w:gridCol w:w="151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8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9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8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5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 محتوای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Content Creator‎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نویسنده/کپی‌رایتر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‎Copywriter‎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8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502"/>
        <w:gridCol w:w="2458"/>
        <w:gridCol w:w="1354"/>
        <w:gridCol w:w="232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5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4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3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3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 محتوای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Content Creator‎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نویسنده/کپی‌رایتر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‎Copywriter‎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یک </w:t>
      </w:r>
      <w:r>
        <w:rPr>
          <w:rFonts w:ascii="Arial" w:hAnsi="Arial" w:cs="Arial" w:eastAsia="Arial"/>
          <w:b w:val="0"/>
          <w:sz w:val="22"/>
          <w:rtl w:val="0"/>
        </w:rPr>
        <w:t>‎mini content program‎</w:t>
      </w:r>
      <w:r>
        <w:rPr>
          <w:rFonts w:ascii="Arial" w:hAnsi="Arial" w:cs="Arial" w:eastAsia="Arial"/>
          <w:b w:val="0"/>
          <w:sz w:val="22"/>
          <w:rtl/>
        </w:rPr>
        <w:t xml:space="preserve"> برای یک محصول با </w:t>
      </w:r>
      <w:r>
        <w:rPr>
          <w:rFonts w:ascii="Arial" w:hAnsi="Arial" w:cs="Arial" w:eastAsia="Arial"/>
          <w:b w:val="0"/>
          <w:sz w:val="22"/>
          <w:rtl w:val="0"/>
        </w:rPr>
        <w:t>‎audience 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‎strategy memo‎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‎editorial calendar‎</w:t>
      </w:r>
      <w:r>
        <w:rPr>
          <w:rFonts w:ascii="Arial" w:hAnsi="Arial" w:cs="Arial" w:eastAsia="Arial"/>
          <w:b w:val="0"/>
          <w:sz w:val="22"/>
          <w:rtl/>
        </w:rPr>
        <w:t xml:space="preserve">، سه قالب، </w:t>
      </w:r>
      <w:r>
        <w:rPr>
          <w:rFonts w:ascii="Arial" w:hAnsi="Arial" w:cs="Arial" w:eastAsia="Arial"/>
          <w:b w:val="0"/>
          <w:sz w:val="22"/>
          <w:rtl w:val="0"/>
        </w:rPr>
        <w:t>‎SEO/distribution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‎retrospective.‎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بازاریاب محتوا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‎Content Marketer‎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نیاز مخاطب و هدف کسب‌وکار را به برنامه محتوایی،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>، دارایی قابل‌انتشار، توزیع و سنجش اثر تبدیل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توصیف تصمیم‌محور: مناسب فردی که از ساخت محتوای مفید و متمایز که به مخاطب درست برسد و علاوه بر توجه، اعتماد، تقاضا یا نگهداشت ایجاد کند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‎Audience/content strategy‎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‎CMS/editorial workflow‎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‎SEO/Search Console‎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‎Audience/content strategy‎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‎CMS/editorial workflow‎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‎SEO/Search Console‎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‎Analytics/UTM‎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‎Brief/project tools‎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‎Design/video collaboration.‎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بازاریاب محتوا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74"/>
        <w:gridCol w:w="1537"/>
        <w:gridCol w:w="2133"/>
        <w:gridCol w:w="359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3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1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5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تولید محتوای شبکه اجتماعی</w:t>
            </w:r>
          </w:p>
        </w:tc>
        <w:tc>
          <w:tcPr>
            <w:tcW w:type="dxa" w:w="1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Content Creator‎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ایده، روایت و دارایی مشترک است.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پلتفرم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سئو</w:t>
            </w:r>
          </w:p>
        </w:tc>
        <w:tc>
          <w:tcPr>
            <w:tcW w:type="dxa" w:w="1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Specialist‎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تقاضای جست‌وجو و محتوای مفید مشترک‌اند.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‎SEO technical/indexing‎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‎organic visibility‎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استراتژی برند</w:t>
            </w:r>
          </w:p>
        </w:tc>
        <w:tc>
          <w:tcPr>
            <w:tcW w:type="dxa" w:w="1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وعده و معماری برند را هدایت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مارکتینگ عمومی</w:t>
            </w:r>
          </w:p>
        </w:tc>
        <w:tc>
          <w:tcPr>
            <w:tcW w:type="dxa" w:w="1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توزیع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چند کانال را اجرا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نویسنده/کپی‌رایتر</w:t>
            </w:r>
          </w:p>
        </w:tc>
        <w:tc>
          <w:tcPr>
            <w:tcW w:type="dxa" w:w="1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‎Copywriter‎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 نوشتن مشترک است.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کپی‌رایتر متن را تحویل می‌دهد؛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برنامه و نتیجه را.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گرافیک</w:t>
            </w:r>
          </w:p>
        </w:tc>
        <w:tc>
          <w:tcPr>
            <w:tcW w:type="dxa" w:w="1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21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تولید دارایی مشترک است.</w:t>
            </w:r>
          </w:p>
        </w:tc>
        <w:tc>
          <w:tcPr>
            <w:tcW w:type="dxa" w:w="3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حل مسئله بصری را محور می‌گیرد.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Writers and Authors‎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Writers and Authors‎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‎Google guidance on helpful content‎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بازاریاب محتوا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content-specialist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27-3043.00" TargetMode="External"/><Relationship Id="rId23" Type="http://schemas.openxmlformats.org/officeDocument/2006/relationships/hyperlink" Target="https://www.bls.gov/ooh/media-and-communication/writers-and-authors.htm" TargetMode="External"/><Relationship Id="rId24" Type="http://schemas.openxmlformats.org/officeDocument/2006/relationships/hyperlink" Target="https://www.linkedin.com/jobs/content-marketing-jobs" TargetMode="External"/><Relationship Id="rId25" Type="http://schemas.openxmlformats.org/officeDocument/2006/relationships/hyperlink" Target="https://developers.google.com/search/docs/fundamentals/creating-helpful-content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www.ftc.gov/business-guidance/advertising-marketing" TargetMode="External"/><Relationship Id="rId28" Type="http://schemas.openxmlformats.org/officeDocument/2006/relationships/hyperlink" Target="https://nationalcareers.service.gov.uk/job-profiles/marketing-executive" TargetMode="External"/><Relationship Id="rId29" Type="http://schemas.openxmlformats.org/officeDocument/2006/relationships/hyperlink" Target="https://www.jobbank.gc.ca/marketreport/summary-occupation/20964/ca" TargetMode="External"/><Relationship Id="rId30" Type="http://schemas.openxmlformats.org/officeDocument/2006/relationships/hyperlink" Target="https://www.ilo.org/publications/generative-ai-and-jobs-refined-global-index-occupational-exposure" TargetMode="External"/><Relationship Id="rId31" Type="http://schemas.openxmlformats.org/officeDocument/2006/relationships/hyperlink" Target="https://www.hubspot.com/state-of-marketing" TargetMode="External"/><Relationship Id="rId32" Type="http://schemas.openxmlformats.org/officeDocument/2006/relationships/hyperlink" Target="https://contentmarketinginstitute.com/articles/b2b-content-marketing-research" TargetMode="External"/><Relationship Id="rId33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بازاریاب محتوا | Content Marketer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