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طراح گرافیک و محتوای بصری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Graphic &amp; Visual Content Designer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طراحی و خلاقیت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طراح گرافیک و محتوای بصری (</w:t>
      </w:r>
      <w:r>
        <w:rPr>
          <w:rFonts w:ascii="Arial" w:hAnsi="Arial" w:cs="Arial" w:eastAsia="Arial"/>
          <w:b/>
          <w:sz w:val="22"/>
          <w:rtl w:val="0"/>
        </w:rPr>
        <w:t>‎Graphic‎</w:t>
      </w:r>
      <w:r>
        <w:rPr>
          <w:rFonts w:ascii="Arial" w:hAnsi="Arial" w:cs="Arial" w:eastAsia="Arial"/>
          <w:b/>
          <w:sz w:val="22"/>
          <w:rtl/>
        </w:rPr>
        <w:t xml:space="preserve"> &amp; </w:t>
      </w:r>
      <w:r>
        <w:rPr>
          <w:rFonts w:ascii="Arial" w:hAnsi="Arial" w:cs="Arial" w:eastAsia="Arial"/>
          <w:b/>
          <w:sz w:val="22"/>
          <w:rtl w:val="0"/>
        </w:rPr>
        <w:t>‎Visual Content Designer)‎</w:t>
      </w:r>
      <w:r>
        <w:rPr>
          <w:rFonts w:ascii="Arial" w:hAnsi="Arial" w:cs="Arial" w:eastAsia="Arial"/>
          <w:b w:val="0"/>
          <w:sz w:val="22"/>
          <w:rtl/>
        </w:rPr>
        <w:t xml:space="preserve"> دارایی بصری ثابت برای ارتباطات، کمپین و کانال دیجیتال/چاپ را از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تا فایل آماده انتشار طراحی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هویت برند، تصویرسازی و موشن تخصص‌های مجاورند؛ این نقش بر ارتباط بصری کاربردی و تولید دارایی ثابت تمرکز دارد.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‎27-1024.00‎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‎27-1024.00‎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مسئله مرکزی تبدیل پیام و هدف مخاطب به خروجی خوانا، منسجم و قابل تولید است. ذی‌نفعان مارکتینگ، محتوا، برند، فروش، چاپخانه/رسانه و مخاطب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مسیر بصری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طرح و نسخه‌های کانالی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فایل </w:t>
      </w:r>
      <w:r>
        <w:rPr>
          <w:rFonts w:ascii="Arial" w:hAnsi="Arial" w:cs="Arial" w:eastAsia="Arial"/>
          <w:b w:val="0"/>
          <w:sz w:val="22"/>
          <w:rtl w:val="0"/>
        </w:rPr>
        <w:t>‎production-ready‎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آرشیو منبع و مجوز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سلیقه با هدف ارتباطی مخلوط می‌شود؛ </w:t>
      </w:r>
      <w:r>
        <w:rPr>
          <w:rFonts w:ascii="Arial" w:hAnsi="Arial" w:cs="Arial" w:eastAsia="Arial"/>
          <w:b w:val="0"/>
          <w:sz w:val="22"/>
          <w:rtl w:val="0"/>
        </w:rPr>
        <w:t>‎revision‎</w:t>
      </w:r>
      <w:r>
        <w:rPr>
          <w:rFonts w:ascii="Arial" w:hAnsi="Arial" w:cs="Arial" w:eastAsia="Arial"/>
          <w:b w:val="0"/>
          <w:sz w:val="22"/>
          <w:rtl/>
        </w:rPr>
        <w:t xml:space="preserve"> بی‌پایان،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مبهم،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خطای چاپ/خروجی فشار واقعی‌اند.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صف، موعد و داده/سند ورودی آغاز می‌کند؛ تحلیل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مرجع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ایده‌پردازی و </w:t>
      </w:r>
      <w:r>
        <w:rPr>
          <w:rFonts w:ascii="Arial" w:hAnsi="Arial" w:cs="Arial" w:eastAsia="Arial"/>
          <w:b w:val="0"/>
          <w:sz w:val="22"/>
          <w:rtl w:val="0"/>
        </w:rPr>
        <w:t>‎layout‎</w:t>
      </w:r>
      <w:r>
        <w:rPr>
          <w:rFonts w:ascii="Arial" w:hAnsi="Arial" w:cs="Arial" w:eastAsia="Arial"/>
          <w:b w:val="0"/>
          <w:sz w:val="22"/>
          <w:rtl/>
        </w:rPr>
        <w:t xml:space="preserve"> و طراحی و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42"/>
        <w:gridCol w:w="2283"/>
        <w:gridCol w:w="1769"/>
        <w:gridCol w:w="2283"/>
        <w:gridCol w:w="2283"/>
      </w:tblGrid>
      <w:tr>
        <w:trPr>
          <w:cantSplit w:val="true"/>
          <w:tblHeader w:val="true"/>
        </w:trPr>
        <w:tc>
          <w:tcPr>
            <w:tcW w:type="dxa" w:w="7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2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7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2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2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مرجع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آن، تبدیل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ارتباطی به دارایی بصری منسجم و آماده تولید به نشانه‌های سطحی واکنش نشان می‌دهد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 بصری» علت و محدودیت روشنی ندارد.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 بصری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 هنری/برند؛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 بصری»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مخرج یا سگمنت حذف می‌شود و تغییرِ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 بصری به علت نادرست نسبت داده می‌شود.</w:t>
            </w:r>
          </w:p>
        </w:tc>
      </w:tr>
      <w:tr>
        <w:trPr>
          <w:cantSplit w:val="true"/>
        </w:trPr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ایده‌پردازی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‎layout‎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تبدیل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ارتباطی به دارایی بصری منسجم و آماده تولید است و «طرح و نسخه‌های کانالی» را از فعالیت مبهم به تحویل قابل بازبینی تبدیل می‌کند.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طرح و نسخه‌های کانالی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محتوا/تولید و بازبین خلاق؛ بازبین «طرح و نسخه‌های کانالی»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«طرح و نسخه‌های کانالی» آزموده نشده است.</w:t>
            </w:r>
          </w:p>
        </w:tc>
      </w:tr>
      <w:tr>
        <w:trPr>
          <w:cantSplit w:val="true"/>
        </w:trPr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کار ابهام را به قاعده یا طرح مشترک تبدیل می‌کند تا «فایل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معیار پذیرش روشن داشته باشد.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بازبین خلاق، برند/محتوا و تأییدکننده نهایی؛ بازبین «فایل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‎preflight‎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اعتماد به «بسته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بازیابی‌پذیر» به کشف مغایرت پیش از تصمیم، پرداخت یا انتشار وابسته است.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تولید/رسانه، مدیر دارایی و مقصد فنی؛ بازبین «بسته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بازیابی‌پذیر»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 بی‌صدا می‌ماند.</w:t>
            </w:r>
          </w:p>
        </w:tc>
      </w:tr>
      <w:tr>
        <w:trPr>
          <w:cantSplit w:val="true"/>
        </w:trPr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بازخورد، نسخه‌بندی و آرشیو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تداوم،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پس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فایل‌های منبع نسخه‌گذاری‌شده و بسته تحویل/مجوز» بدون این حلقه از بین می‌رود.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فایل‌های منبع نسخه‌گذاری‌شده و بسته تحویل/مجوز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تولید/رسانه، مدیر دارایی و مقصد فنی؛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فایل‌های منبع نسخه‌گذاری‌شده و بسته تحویل/مجوز»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نسخه نهایی، دلیل تصمیم یا حق دسترسی ثبت نمی‌شود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فایل‌های منبع نسخه‌گذاری‌شده و بسته تحویل/مجوز قابل بازسازی/تحویل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مرجع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ایده‌پردازی و </w:t>
      </w:r>
      <w:r>
        <w:rPr>
          <w:rFonts w:ascii="Arial" w:hAnsi="Arial" w:cs="Arial" w:eastAsia="Arial"/>
          <w:b w:val="0"/>
          <w:sz w:val="22"/>
          <w:rtl w:val="0"/>
        </w:rPr>
        <w:t>‎layout‎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طراحی و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مرور تحویل به‌موقع، سازگاری برند، نرخ تأیید/اصلاح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مارکتینگ، محتوا، برند، فروش، چاپخانه/رسانه و مخاطب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24"/>
        <w:gridCol w:w="1141"/>
        <w:gridCol w:w="4795"/>
      </w:tblGrid>
      <w:tr>
        <w:trPr>
          <w:cantSplit w:val="true"/>
          <w:tblHeader w:val="true"/>
        </w:trPr>
        <w:tc>
          <w:tcPr>
            <w:tcW w:type="dxa" w:w="34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1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47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3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به‌موقع</w:t>
            </w:r>
          </w:p>
        </w:tc>
        <w:tc>
          <w:tcPr>
            <w:tcW w:type="dxa" w:w="1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سازگاری برند</w:t>
            </w:r>
          </w:p>
        </w:tc>
        <w:tc>
          <w:tcPr>
            <w:tcW w:type="dxa" w:w="1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تأیید/اصلاح</w:t>
            </w:r>
          </w:p>
        </w:tc>
        <w:tc>
          <w:tcPr>
            <w:tcW w:type="dxa" w:w="1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خطای تولید</w:t>
            </w:r>
          </w:p>
        </w:tc>
        <w:tc>
          <w:tcPr>
            <w:tcW w:type="dxa" w:w="1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دارایی با کنترل عوامل دیگر</w:t>
            </w:r>
          </w:p>
        </w:tc>
        <w:tc>
          <w:tcPr>
            <w:tcW w:type="dxa" w:w="1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ترکیب‌بندی، تایپوگرافی و رنگ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ترکیب‌بندی، تایپوگرافی و رنگ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ترکیب‌بندی، تایپوگرافی و رنگ.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ترکیب‌بندی، تایپوگرافی و رنگ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ترکیب‌بندی، تایپوگرافی و رنگ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ترکیب‌بندی، تایپوگرافی و رنگ: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ترکیب‌بندی، تایپوگرافی و رنگ: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محیط تحویل واقعی نقش است؛ تسلط باید به خروجی سالم و قابل‌تحویل منجر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ساخت، نسخه‌بندی، کنترل دسترسی/کیفیت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منوهای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می‌شناسد و در خطا،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محدودیت مقصد متوقف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سناریوی کامل را اجرا، خطا را تشخیص و انتخاب فنی را با پیامد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استقلال: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ارشد: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آموزش.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فایل منبع، نسخه‌ها، چک‌لیست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خروجی مقصد.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محیط تحویل واقعی نقش است؛ تسلط باید به خروجی سالم و قابل‌تحویل منجر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ساخت، نسخه‌بندی، کنترل دسترسی/کیفیت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منوهای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می‌شناسد و در خطا،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محدودیت مقصد متوقف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سناریوی کامل را اجرا، خطا را تشخیص و انتخاب فنی را با پیامد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استقلال: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ارشد: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آموزش.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فایل منبع، نسخه‌ها، چک‌لیست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خروجی مقصد.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چاپ و تولید دیجیتال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چاپ و تولید دیجیتال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واقعی چاپ و تولید دیجیتال: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درباره چاپ و تولید دیجیتال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چاپ و تولید دیجیتال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چاپ و تولید دیجیتال: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بی‌نامِ چاپ و تولید دیجیتال با مسئله، ورودی، تصمیم، کنترل، نسخه و نتیجه.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 مرز اختیار، رضایت و ریسک قانونی/اعتباری تحویل را تعیین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تبدیل الزام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‎checklist‎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ثبت استناد،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شاهد.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قاعده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 را حفظی و قطعی می‌گوید اما تاریخ، دامنه و مرجع را ثبت نمی‌کند.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الزام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 را با منبع جاری، سناریوی مرزی و نقطه ارجاع به متخصص اعمال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استفاده: ورود: تشخیص الزام؛ استقلال: اجرای کنترل؛ ارشد: تفسیر با همکاری حقوقی/حرفه‌ای.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 با منبع، تصمیم، کنترل، استثنا و تاریخ بازبینی.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91"/>
        <w:gridCol w:w="7369"/>
      </w:tblGrid>
      <w:tr>
        <w:trPr>
          <w:cantSplit w:val="true"/>
          <w:tblHeader w:val="true"/>
        </w:trPr>
        <w:tc>
          <w:tcPr>
            <w:tcW w:type="dxa" w:w="19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3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ترکیب‌بندی، تایپوگرافی و رنگ،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چاپ و تولید دیجیتال،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‎Figma/Canva‎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نقش و واژگان صنعت را بیاموزید؛ یک سناریوی واقع‌نما بسازید، تحلیل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مرجع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‎Photoshop‎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‎Illustrator‎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مسیر بصری، طرح و نسخه‌های کانالی، فایل </w:t>
      </w:r>
      <w:r>
        <w:rPr>
          <w:rFonts w:ascii="Arial" w:hAnsi="Arial" w:cs="Arial" w:eastAsia="Arial"/>
          <w:b w:val="0"/>
          <w:sz w:val="22"/>
          <w:rtl w:val="0"/>
        </w:rPr>
        <w:t>‎production-ready‎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صفحه جاری گرافیک ۱۲ نتیجه داشت؛ پس از حذف مارکتینگ، موشن و محصول ۹ عنوان گرافیک‌محور ماند. تهران غالب بود و حضوری، هیبرید و یک دورکاری دیده شد.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سلیقه با هدف ارتباطی مخلوط می‌شود؛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خطای چاپ/خروجی فشار واقعی‌اند.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گرافیک ۱۲ نتیجه داشت؛ پس از حذف مارکتینگ، موشن و محصول ۹ عنوان گرافیک‌محور ماند. تهران غالب بود و حضوری، هیبرید و یک دورکاری دیده شد.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صفحه جاری گرافیک ۱۲ نتیجه داشت؛ پس از حذف مارکتینگ، موشن و محصول ۹ عنوان گرافیک‌محور ماند. تهران غالب بود و حضوری، هیبرید و یک دورکاری دیده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ترکیب‌بندی، تایپوگرافی و رنگ،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«طراح گرافیک و محتوای بصری» با طراح هویت بصری، تصویرگر، طراح موشن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طراح گرافیک و محتوای بصری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۱۴۰۵]. بازه‌های آشکار ۱۲ تا ۱۵، ۲۵ تا ۳۵، ۴۵ تا ۶۰ و ۶۰ تا ۸۰ میلیون تومان مربوط به سطح‌ها و کارفرماهای متفاوت بود و میانه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«طراح گرافیک و محتوای بصری».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2"/>
        <w:gridCol w:w="1400"/>
        <w:gridCol w:w="1837"/>
        <w:gridCol w:w="1837"/>
        <w:gridCol w:w="1400"/>
        <w:gridCol w:w="1574"/>
      </w:tblGrid>
      <w:tr>
        <w:trPr>
          <w:cantSplit w:val="true"/>
          <w:tblHeader w:val="true"/>
        </w:trPr>
        <w:tc>
          <w:tcPr>
            <w:tcW w:type="dxa" w:w="1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 بصری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طرح و نسخه‌های کانالی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21"/>
        <w:gridCol w:w="2116"/>
        <w:gridCol w:w="2035"/>
        <w:gridCol w:w="1709"/>
        <w:gridCol w:w="1221"/>
        <w:gridCol w:w="1058"/>
      </w:tblGrid>
      <w:tr>
        <w:trPr>
          <w:cantSplit w:val="true"/>
          <w:tblHeader w:val="true"/>
        </w:trPr>
        <w:tc>
          <w:tcPr>
            <w:tcW w:type="dxa" w:w="12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1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7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2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مرجع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ایده‌پردازی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‎layout‎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‎InDesign‎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‎Figma/Canva‎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‎preflight‎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بازخورد، نسخه‌بندی و آرشیو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مرجع»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«سازگاری برند» بهتر اما «نرخ تأیید/اصلاح»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 بصری»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«طرح و نسخه‌های کانالی»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«تحویل به‌موقع»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«خطای تولید»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«اثر دارایی با کنترل عوامل دیگر»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‎preflight‎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نمونه‌ای بگویید که «ایده‌پردازی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‎layout‎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داده یا سند لازم برای «طراحی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مارکتینگ، محتوا، برند، چاپ/رسانه و مخاطب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سلیقه با هدف ارتباطی مخلوط می‌شود؛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خطای چاپ/خروجی فشار واقعی‌اند،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«تحلیل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مرجع»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«ایده‌پردازی و </w:t>
      </w:r>
      <w:r>
        <w:rPr>
          <w:rFonts w:ascii="Arial" w:hAnsi="Arial" w:cs="Arial" w:eastAsia="Arial"/>
          <w:b w:val="0"/>
          <w:sz w:val="22"/>
          <w:rtl w:val="0"/>
        </w:rPr>
        <w:t>‎layout‎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«تحویل به‌موقع»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«سازگاری برند» بهتر اما «نرخ تأیید/اصلاح»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مسیر بصری»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Future of Creative Work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‎https://www.adobe.com/ai/research/202606/ai-is-redistributing-creative-work.html‎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creative-attitude survey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‎https://www.adobe.com/ai/research/202606/how-creatives-are-thinking-about-ai.html‎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Creator Toolkit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‎https://news.adobe.com/news/2025/10/adobe-max-2025-creators-survey‎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‎Animation Guild GenAI Task Force 2024‎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‎https://animationguild.org/wp-content/uploads/2024/09/2024-TAG-GenAI-Report.pdf‎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مدیریت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نسخه و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به اندازه ذوق بصری بر کیفیت نهایی اثر دارد.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شروع در نرم‌افزار پیش از تعیین مخاطب، پیام، کانال و معیار تأیید.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تنوع مسئله و دیدن خروجی واقعی دلیل ماندن است؛ </w:t>
      </w:r>
      <w:r>
        <w:rPr>
          <w:rFonts w:ascii="Arial" w:hAnsi="Arial" w:cs="Arial" w:eastAsia="Arial"/>
          <w:b w:val="0"/>
          <w:sz w:val="22"/>
          <w:rtl w:val="0"/>
        </w:rPr>
        <w:t>‎revision‎</w:t>
      </w:r>
      <w:r>
        <w:rPr>
          <w:rFonts w:ascii="Arial" w:hAnsi="Arial" w:cs="Arial" w:eastAsia="Arial"/>
          <w:b w:val="0"/>
          <w:sz w:val="22"/>
          <w:rtl/>
        </w:rPr>
        <w:t xml:space="preserve"> بی‌مرز و مالکیت مبهم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سه </w:t>
      </w:r>
      <w:r>
        <w:rPr>
          <w:rFonts w:ascii="Arial" w:hAnsi="Arial" w:cs="Arial" w:eastAsia="Arial"/>
          <w:b w:val="0"/>
          <w:sz w:val="22"/>
          <w:rtl w:val="0"/>
        </w:rPr>
        <w:t>‎case‎</w:t>
      </w:r>
      <w:r>
        <w:rPr>
          <w:rFonts w:ascii="Arial" w:hAnsi="Arial" w:cs="Arial" w:eastAsia="Arial"/>
          <w:b w:val="0"/>
          <w:sz w:val="22"/>
          <w:rtl/>
        </w:rPr>
        <w:t xml:space="preserve"> محدود با </w:t>
      </w:r>
      <w:r>
        <w:rPr>
          <w:rFonts w:ascii="Arial" w:hAnsi="Arial" w:cs="Arial" w:eastAsia="Arial"/>
          <w:b w:val="0"/>
          <w:sz w:val="22"/>
          <w:rtl w:val="0"/>
        </w:rPr>
        <w:t>‎rationale‎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‎preflight‎</w:t>
      </w:r>
      <w:r>
        <w:rPr>
          <w:rFonts w:ascii="Arial" w:hAnsi="Arial" w:cs="Arial" w:eastAsia="Arial"/>
          <w:b w:val="0"/>
          <w:sz w:val="22"/>
          <w:rtl/>
        </w:rPr>
        <w:t xml:space="preserve"> و نتیجه کانالی می‌ساخت.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89"/>
        <w:gridCol w:w="1888"/>
        <w:gridCol w:w="1888"/>
        <w:gridCol w:w="1888"/>
        <w:gridCol w:w="188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8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هویت بصری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«طراح هویت بصری» این اشتراک مشخصاً با تمرکز بر ساخت تقاضا، جایگاه یا پوشش بازار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طراح هویت بصری عمدتاً مالک «برنامه بازار/برند، کمپین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مخاطب، فروش و محصول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‎Figma/Canva‎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‎preflight‎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‎martech‎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تصویرگر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«تصویرگر»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تصویرگر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‎Figma/Canva‎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‎preflight‎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«طراح موشن»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طراح موشن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‎Figma/Canva‎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‎preflight‎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محتوای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Content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«طراح محتوای اجتماعی»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طراح محتوای اجتماعی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‎Figma/Canva‎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‎preflight‎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«طراح محصول» این اشتراک مشخصاً با تمرکز بر حل مسئله کاربر از راه تعامل و تجربه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طراح محصول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synthesis‎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‎prototype/spec‎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کاربر، محصول و مهندسی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‎Figma/Canva‎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‎preflight‎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 system‎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هنری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«مدیر هنری»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مدیر هنری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‎Figma/Canva‎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‎preflight‎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89"/>
        <w:gridCol w:w="1888"/>
        <w:gridCol w:w="1888"/>
        <w:gridCol w:w="1888"/>
        <w:gridCol w:w="188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8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هویت بصری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زیاد؛ آمار متوسط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‎campaign/case‎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بازخورد سلیقه‌ای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مبهم؛ مسیر نزدیک: انتساب اثر و فشار کوتاه‌مدت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‎strategy/lead marketing‎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تصویرگر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بازخورد سلیقه‌ای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بازخورد سلیقه‌ای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محتوای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Content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بازخورد سلیقه‌ای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زیاد؛ آمار متوسط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تصمیم‌محور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بازخورد سلیقه‌ای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مبهم؛ مسیر نزدیک: بازخورد و محدودیت فنی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هنری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بازخورد سلیقه‌ای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3367"/>
        <w:gridCol w:w="336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3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3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هویت بصری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Designer‎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واریانت‌سازی را سریع می‌کند؛ انتخاب، حقوق و کیفیت متمایزکننده می‌ماند؛ مسیر نزدیک: تولید سریع‌تر؛ جایگاه و قضاوت باقی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هویت بصری»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تصویرگر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«تصویرگر»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موشن»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محتوای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Content Designer‎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محتوای اجتماعی»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Designer‎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واریانت‌سازی را سریع می‌کند؛ انتخاب، حقوق و کیفیت متمایزکننده می‌ماند؛ مسیر نزدیک: واریانت سریع‌تر؛ پژوهش و انتخاب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محصول»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هنری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«مدیر هنری»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تحلیل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مرجع، ایده‌پردازی و </w:t>
      </w:r>
      <w:r>
        <w:rPr>
          <w:rFonts w:ascii="Arial" w:hAnsi="Arial" w:cs="Arial" w:eastAsia="Arial"/>
          <w:b w:val="0"/>
          <w:sz w:val="22"/>
          <w:rtl w:val="0"/>
        </w:rPr>
        <w:t>‎layout‎</w:t>
      </w:r>
      <w:r>
        <w:rPr>
          <w:rFonts w:ascii="Arial" w:hAnsi="Arial" w:cs="Arial" w:eastAsia="Arial"/>
          <w:b w:val="0"/>
          <w:sz w:val="22"/>
          <w:rtl/>
        </w:rPr>
        <w:t xml:space="preserve">، طراحی و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>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سلیقه با هدف ارتباطی مخلوط می‌شود؛ </w:t>
      </w:r>
      <w:r>
        <w:rPr>
          <w:rFonts w:ascii="Arial" w:hAnsi="Arial" w:cs="Arial" w:eastAsia="Arial"/>
          <w:b w:val="0"/>
          <w:sz w:val="22"/>
          <w:rtl w:val="0"/>
        </w:rPr>
        <w:t>‎revision‎</w:t>
      </w:r>
      <w:r>
        <w:rPr>
          <w:rFonts w:ascii="Arial" w:hAnsi="Arial" w:cs="Arial" w:eastAsia="Arial"/>
          <w:b w:val="0"/>
          <w:sz w:val="22"/>
          <w:rtl/>
        </w:rPr>
        <w:t xml:space="preserve"> بی‌پایان،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مبهم،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خطای چاپ/خروجی فشار واقعی‌اند.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مسیر بصری و طرح و نسخه‌های کانالی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ایده‌پردازی و </w:t>
      </w:r>
      <w:r>
        <w:rPr>
          <w:rFonts w:ascii="Arial" w:hAnsi="Arial" w:cs="Arial" w:eastAsia="Arial"/>
          <w:b w:val="0"/>
          <w:sz w:val="22"/>
          <w:rtl w:val="0"/>
        </w:rPr>
        <w:t>‎layout‎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گرافیک و محتوای بصری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Content Designer‎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دارایی بصری ثابت برای ارتباطات، کمپین و کانال دیجیتال/چاپ را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 فایل آماده انتشار طراحی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سلیقه با هدف ارتباطی مخلوط می‌شود؛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خطای چاپ/خروجی فشار واقعی‌اند.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ترکیب‌بندی، تایپوگرافی و رنگ،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چاپ و تولید دیجیتال،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‎Figma/Canva‎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0"/>
        <w:gridCol w:w="5200"/>
        <w:gridCol w:w="3250"/>
      </w:tblGrid>
      <w:tr>
        <w:trPr>
          <w:cantSplit w:val="true"/>
          <w:tblHeader w:val="true"/>
        </w:trPr>
        <w:tc>
          <w:tcPr>
            <w:tcW w:type="dxa" w:w="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2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سلیقه با هدف ارتباطی مخلوط می‌شود؛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بی‌پایان،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خطای چاپ/خروجی فشار واقعی‌اند.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بازخورد چندذی‌نفعی و موعد انتشار/تولید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تحلیل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مرجع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ایده‌پردازی و </w:t>
      </w:r>
      <w:r>
        <w:rPr>
          <w:rFonts w:ascii="Arial" w:hAnsi="Arial" w:cs="Arial" w:eastAsia="Arial"/>
          <w:b w:val="0"/>
          <w:sz w:val="22"/>
          <w:rtl w:val="0"/>
        </w:rPr>
        <w:t>‎layout‎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تحویل به‌موقع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سازگاری برند بهتر و نرخ تأیید/اصلاح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مسیر بصری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34"/>
        <w:gridCol w:w="1001"/>
        <w:gridCol w:w="3403"/>
        <w:gridCol w:w="340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8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4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4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Designer‎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«طراح هویت بصری» این اشتراک مشخصاً با تمرکز بر ساخت تقاضا، جایگاه یا پوشش بازار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طراح هویت بصری عمدتاً مالک «برنامه بازار/برند، کمپین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«تصویرگر»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تصویرگر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«طراح موشن»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طراح موشن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محتوای اجتماعی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Content Designer‎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«طراح محتوای اجتماعی»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طراح محتوای اجتماعی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محصول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Designer‎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«طراح محصول» این اشتراک مشخصاً با تمرکز بر حل مسئله کاربر از راه تعامل و تجربه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طراح محصول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synthesis‎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‎prototype/spec‎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هنری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پیام، ترکیب‌بندی، برند و محدودیت تولید و هماهنگی با مارکتینگ، محتوا، برند، چاپ/رسانه و مخاطب تکیه دارند؛ در «مدیر هنری»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و محتوای بصری مالک «مسیر بصری، نسخه‌های کانالی، 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‎production-ready‎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آرشیو» است؛ مدیر هنری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02"/>
        <w:gridCol w:w="782"/>
        <w:gridCol w:w="720"/>
        <w:gridCol w:w="816"/>
        <w:gridCol w:w="720"/>
        <w:gridCol w:w="280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Graphic &amp; Visual Content Designer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mixes brand‎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occasional motion responsibilities‎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deliverable type.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حقوق مؤلف و هنرمند ایران در WIPO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جاری/قانون پایه ۱۳۴۸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پایگاه رسمی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 قرارداد اثر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تجارت الکترونیکی ایران ۱۴۰۳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رسمی/صنفی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تقاضای محتوای دیجیتال؛ نه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27-1024.00‎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27-1024.00‎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occupational profile‎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وظایف،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خانواده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‎U.S. Copyright Office AI Part 2‎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‎authorship‎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قانون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Firefly FAQ‎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عدم دسترسی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‎Firefly‎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Graphic &amp; Visual Content Designer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mixes brand‎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occasional motion responsibilities‎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deliverable type.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Future of Creative Work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creative-attitude survey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Creator Toolkit survey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1">
              <w:r>
                <w:rPr>
                  <w:rFonts w:ascii="Arial" w:hAnsi="Arial" w:cs="Arial" w:eastAsia="Arial"/>
                  <w:color w:val="2E74B5"/>
                  <w:u w:val="single"/>
                </w:rPr>
                <w:t>‎Animation Guild GenAI Task Force 2024‎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۲۰۲۴/۲۰۲۶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پیمایش/دیدگاه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کار خلاق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طراح گرافیک و محتوای بصری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graphic-artist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wipo.int/wipolex/en/legislation/details/7708" TargetMode="External"/><Relationship Id="rId24" Type="http://schemas.openxmlformats.org/officeDocument/2006/relationships/hyperlink" Target="https://ecomotive.ir/wp-content/uploads/2025/10/ec_report1403.pdf" TargetMode="External"/><Relationship Id="rId25" Type="http://schemas.openxmlformats.org/officeDocument/2006/relationships/hyperlink" Target="https://www.onetonline.org/link/summary/27-1024.00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oh/arts-and-design/graphic-designers.htm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copyright.gov/ai/Copyright-and-Artificial-Intelligence-Part-2-Copyrightability-Report.pdf" TargetMode="External"/><Relationship Id="rId33" Type="http://schemas.openxmlformats.org/officeDocument/2006/relationships/hyperlink" Target="https://helpx.adobe.com/firefly/get-set-up/learn-the-basics/adobe-firefly-faq.pdf" TargetMode="External"/><Relationship Id="rId34" Type="http://schemas.openxmlformats.org/officeDocument/2006/relationships/hyperlink" Target="https://www.linkedin.com/jobs/search/?keywords=Graphic%20Designer%20Visual%20Content&amp;location=Worldwide" TargetMode="External"/><Relationship Id="rId35" Type="http://schemas.openxmlformats.org/officeDocument/2006/relationships/hyperlink" Target="https://www.ilo.org/publications/generative-ai-and-jobs-refined-global-index-occupational-exposure" TargetMode="External"/><Relationship Id="rId36" Type="http://schemas.openxmlformats.org/officeDocument/2006/relationships/hyperlink" Target="https://www.pwc.com/gx/en/issues/artificial-intelligence/publications/artificial-intelligence-study.html" TargetMode="External"/><Relationship Id="rId37" Type="http://schemas.openxmlformats.org/officeDocument/2006/relationships/hyperlink" Target="https://hai.stanford.edu/ai-index/2026-ai-index-report/economy" TargetMode="External"/><Relationship Id="rId38" Type="http://schemas.openxmlformats.org/officeDocument/2006/relationships/hyperlink" Target="https://www.adobe.com/ai/research/202606/ai-is-redistributing-creative-work.html" TargetMode="External"/><Relationship Id="rId39" Type="http://schemas.openxmlformats.org/officeDocument/2006/relationships/hyperlink" Target="https://www.adobe.com/ai/research/202606/how-creatives-are-thinking-about-ai.html" TargetMode="External"/><Relationship Id="rId40" Type="http://schemas.openxmlformats.org/officeDocument/2006/relationships/hyperlink" Target="https://news.adobe.com/news/2025/10/adobe-max-2025-creators-survey" TargetMode="External"/><Relationship Id="rId41" Type="http://schemas.openxmlformats.org/officeDocument/2006/relationships/hyperlink" Target="https://animationguild.org/wp-content/uploads/2024/09/2024-TAG-GenAI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طراح گرافیک و محتوای بصری | Graphic &amp; Visual Content Designer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