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توسعه بازار و جذب پذیرنده</w:t>
      </w:r>
    </w:p>
    <w:p>
      <w:pPr>
        <w:spacing w:after="480"/>
        <w:jc w:val="center"/>
      </w:pPr>
      <w:r>
        <w:rPr>
          <w:rFonts w:ascii="Arial" w:hAnsi="Arial" w:cs="Arial" w:eastAsia="Arial"/>
          <w:color w:val="1F4D78"/>
          <w:sz w:val="30"/>
          <w:rtl w:val="0"/>
        </w:rPr>
        <w:t>Market Development / Merchant Acquisition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توسعه بازار و جذب پذیرنده (</w:t>
      </w:r>
      <w:r>
        <w:rPr>
          <w:rFonts w:ascii="Arial" w:hAnsi="Arial" w:cs="Arial" w:eastAsia="Arial"/>
          <w:b/>
          <w:sz w:val="22"/>
          <w:rtl w:val="0"/>
        </w:rPr>
        <w:t>‎Market Development‎</w:t>
      </w:r>
      <w:r>
        <w:rPr>
          <w:rFonts w:ascii="Arial" w:hAnsi="Arial" w:cs="Arial" w:eastAsia="Arial"/>
          <w:b/>
          <w:sz w:val="22"/>
          <w:rtl/>
        </w:rPr>
        <w:t xml:space="preserve"> / </w:t>
      </w:r>
      <w:r>
        <w:rPr>
          <w:rFonts w:ascii="Arial" w:hAnsi="Arial" w:cs="Arial" w:eastAsia="Arial"/>
          <w:b/>
          <w:sz w:val="22"/>
          <w:rtl w:val="0"/>
        </w:rPr>
        <w:t>‎Merchant Acquisition)‎</w:t>
      </w:r>
      <w:r>
        <w:rPr>
          <w:rFonts w:ascii="Arial" w:hAnsi="Arial" w:cs="Arial" w:eastAsia="Arial"/>
          <w:b w:val="0"/>
          <w:sz w:val="22"/>
          <w:rtl/>
        </w:rPr>
        <w:t xml:space="preserve"> پذیرندگان یا فروشندگان هدف را شناسایی، متقاعد، قرارداد، فعال و برای شروع معامله آماده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‎Market Development‎</w:t>
      </w:r>
      <w:r>
        <w:rPr>
          <w:rFonts w:ascii="Arial" w:hAnsi="Arial" w:cs="Arial" w:eastAsia="Arial"/>
          <w:b w:val="0"/>
          <w:sz w:val="22"/>
          <w:rtl/>
        </w:rPr>
        <w:t xml:space="preserve"> / </w:t>
      </w:r>
      <w:r>
        <w:rPr>
          <w:rFonts w:ascii="Arial" w:hAnsi="Arial" w:cs="Arial" w:eastAsia="Arial"/>
          <w:b w:val="0"/>
          <w:sz w:val="22"/>
          <w:rtl w:val="0"/>
        </w:rPr>
        <w:t>‎Merchant Acquisition‎</w:t>
      </w:r>
      <w:r>
        <w:rPr>
          <w:rFonts w:ascii="Arial" w:hAnsi="Arial" w:cs="Arial" w:eastAsia="Arial"/>
          <w:b w:val="0"/>
          <w:sz w:val="22"/>
          <w:rtl/>
        </w:rPr>
        <w:t xml:space="preserve"> و مسیرهای نزدیک را پوشش دهد. مرز عملی این گزارش چنین است: بازاریابی مصرف‌کننده یا مدیریت حساب پس از جذب نیست؛ معیار اصلی عبور پذیرنده از امضا به فعال‌شدن واقعی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کمبود پوشش عرضه و دشواری تبدیل فروشنده سنتی به شریک فعال پلتفرم است. ذی‌نفعان اصلی پذیرنده، فروش میدانی، عملیات، ریسک، مالی، محصول و پشتیبانی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نقشه منطقه/دسته</w:t>
      </w:r>
    </w:p>
    <w:p>
      <w:pPr>
        <w:pStyle w:val="ListBullet"/>
        <w:keepLines/>
        <w:spacing w:after="80" w:line="300" w:lineRule="auto"/>
        <w:ind w:left="540" w:hanging="271"/>
        <w:jc w:val="right"/>
        <w:bidi w:val="1"/>
      </w:pPr>
      <w:r>
        <w:rPr>
          <w:rFonts w:ascii="Arial" w:hAnsi="Arial" w:cs="Arial" w:eastAsia="Arial"/>
          <w:b w:val="0"/>
          <w:sz w:val="22"/>
          <w:rtl w:val="0"/>
        </w:rPr>
        <w:t>‎pipeline‎</w:t>
      </w:r>
      <w:r>
        <w:rPr>
          <w:rFonts w:ascii="Arial" w:hAnsi="Arial" w:cs="Arial" w:eastAsia="Arial"/>
          <w:b w:val="0"/>
          <w:sz w:val="22"/>
          <w:rtl/>
        </w:rPr>
        <w:t xml:space="preserve"> پذیرنده</w:t>
      </w:r>
    </w:p>
    <w:p>
      <w:pPr>
        <w:pStyle w:val="ListBullet"/>
        <w:keepLines/>
        <w:spacing w:after="80" w:line="300" w:lineRule="auto"/>
        <w:ind w:left="540" w:hanging="271"/>
        <w:jc w:val="right"/>
        <w:bidi w:val="1"/>
      </w:pPr>
      <w:r>
        <w:rPr>
          <w:rFonts w:ascii="Arial" w:hAnsi="Arial" w:cs="Arial" w:eastAsia="Arial"/>
          <w:b w:val="0"/>
          <w:sz w:val="22"/>
          <w:rtl/>
        </w:rPr>
        <w:t xml:space="preserve">قرارداد و </w:t>
      </w:r>
      <w:r>
        <w:rPr>
          <w:rFonts w:ascii="Arial" w:hAnsi="Arial" w:cs="Arial" w:eastAsia="Arial"/>
          <w:b w:val="0"/>
          <w:sz w:val="22"/>
          <w:rtl w:val="0"/>
        </w:rPr>
        <w:t>‎KYC‎</w:t>
      </w:r>
    </w:p>
    <w:p>
      <w:pPr>
        <w:pStyle w:val="ListBullet"/>
        <w:keepLines/>
        <w:spacing w:after="80" w:line="300" w:lineRule="auto"/>
        <w:ind w:left="540" w:hanging="271"/>
        <w:jc w:val="right"/>
        <w:bidi w:val="1"/>
      </w:pPr>
      <w:r>
        <w:rPr>
          <w:rFonts w:ascii="Arial" w:hAnsi="Arial" w:cs="Arial" w:eastAsia="Arial"/>
          <w:b w:val="0"/>
          <w:sz w:val="22"/>
          <w:rtl/>
        </w:rPr>
        <w:t xml:space="preserve">گزارش </w:t>
      </w:r>
      <w:r>
        <w:rPr>
          <w:rFonts w:ascii="Arial" w:hAnsi="Arial" w:cs="Arial" w:eastAsia="Arial"/>
          <w:b w:val="0"/>
          <w:sz w:val="22"/>
          <w:rtl w:val="0"/>
        </w:rPr>
        <w:t>‎activation‎</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 xml:space="preserve">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فشار تعداد قرارداد می‌تواند پذیرنده بی‌کیفیت بسازد؛ کار میدانی، رفت‌وآمد و وابستگی </w:t>
      </w:r>
      <w:r>
        <w:rPr>
          <w:rFonts w:ascii="Arial" w:hAnsi="Arial" w:cs="Arial" w:eastAsia="Arial"/>
          <w:b w:val="0"/>
          <w:sz w:val="22"/>
          <w:rtl w:val="0"/>
        </w:rPr>
        <w:t>‎activation‎</w:t>
      </w:r>
      <w:r>
        <w:rPr>
          <w:rFonts w:ascii="Arial" w:hAnsi="Arial" w:cs="Arial" w:eastAsia="Arial"/>
          <w:b w:val="0"/>
          <w:sz w:val="22"/>
          <w:rtl/>
        </w:rPr>
        <w:t xml:space="preserve"> به محصول و تسویه فرساینده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نقشه‌برداری بازار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مراجعه و </w:t>
      </w:r>
      <w:r>
        <w:rPr>
          <w:rFonts w:ascii="Arial" w:hAnsi="Arial" w:cs="Arial" w:eastAsia="Arial"/>
          <w:b w:val="0"/>
          <w:sz w:val="22"/>
          <w:rtl w:val="0"/>
        </w:rPr>
        <w:t>‎pitch‎</w:t>
      </w:r>
      <w:r>
        <w:rPr>
          <w:rFonts w:ascii="Arial" w:hAnsi="Arial" w:cs="Arial" w:eastAsia="Arial"/>
          <w:b w:val="0"/>
          <w:sz w:val="22"/>
          <w:rtl/>
        </w:rPr>
        <w:t>، جلسه تصمیم با دو ذی‌نفع و مرور پذیرنده فعال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نقشه‌برداری بازار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گسترش پوشش بازار با جذب و فعال‌سازی پذیرنده مناسب است و «نقشه منطقه/دسته»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منطقه/دسته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«نقشه منطقه/دسته»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«نقشه منطقه/دسته»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مراجعه و </w:t>
            </w:r>
            <w:r>
              <w:rPr>
                <w:rFonts w:ascii="Arial" w:hAnsi="Arial" w:cs="Arial" w:eastAsia="Arial"/>
                <w:b w:val="0"/>
                <w:sz w:val="18"/>
                <w:rtl w:val="0"/>
              </w:rPr>
              <w:t>‎pitch‎</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گسترش پوشش بازار با جذب و فعال‌سازی پذیرنده مناسب است و «</w:t>
            </w:r>
            <w:r>
              <w:rPr>
                <w:rFonts w:ascii="Arial" w:hAnsi="Arial" w:cs="Arial" w:eastAsia="Arial"/>
                <w:b w:val="0"/>
                <w:sz w:val="18"/>
                <w:rtl w:val="0"/>
              </w:rPr>
              <w:t>‎pipeline‎</w:t>
            </w:r>
            <w:r>
              <w:rPr>
                <w:rFonts w:ascii="Arial" w:hAnsi="Arial" w:cs="Arial" w:eastAsia="Arial"/>
                <w:b w:val="0"/>
                <w:sz w:val="18"/>
                <w:rtl/>
              </w:rPr>
              <w:t xml:space="preserve"> پذیرنده»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پذیرنده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و مسئول رابطه؛ بازبین «</w:t>
            </w:r>
            <w:r>
              <w:rPr>
                <w:rFonts w:ascii="Arial" w:hAnsi="Arial" w:cs="Arial" w:eastAsia="Arial"/>
                <w:b w:val="0"/>
                <w:sz w:val="18"/>
                <w:rtl w:val="0"/>
              </w:rPr>
              <w:t>‎pipeline‎</w:t>
            </w:r>
            <w:r>
              <w:rPr>
                <w:rFonts w:ascii="Arial" w:hAnsi="Arial" w:cs="Arial" w:eastAsia="Arial"/>
                <w:b w:val="0"/>
                <w:sz w:val="18"/>
                <w:rtl/>
              </w:rPr>
              <w:t xml:space="preserve"> پذیرنده»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‎pipeline‎</w:t>
            </w:r>
            <w:r>
              <w:rPr>
                <w:rFonts w:ascii="Arial" w:hAnsi="Arial" w:cs="Arial" w:eastAsia="Arial"/>
                <w:b w:val="0"/>
                <w:sz w:val="18"/>
                <w:rtl/>
              </w:rPr>
              <w:t xml:space="preserve"> پذیرنده»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احراز و قرارداد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اقدام بخش اجراییِ گسترش پوشش بازار با جذب و فعال‌سازی پذیرنده مناسب است و «قرارداد و </w:t>
            </w:r>
            <w:r>
              <w:rPr>
                <w:rFonts w:ascii="Arial" w:hAnsi="Arial" w:cs="Arial" w:eastAsia="Arial"/>
                <w:b w:val="0"/>
                <w:sz w:val="18"/>
                <w:rtl w:val="0"/>
              </w:rPr>
              <w:t>‎KYC‎</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قرارداد و </w:t>
            </w:r>
            <w:r>
              <w:rPr>
                <w:rFonts w:ascii="Arial" w:hAnsi="Arial" w:cs="Arial" w:eastAsia="Arial"/>
                <w:b w:val="0"/>
                <w:sz w:val="18"/>
                <w:rtl w:val="0"/>
              </w:rPr>
              <w:t>‎KYC‎</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مشتری/پذیرنده، حقوقی، مالی و تیم تحویل؛ بازبین «قرارداد و </w:t>
            </w:r>
            <w:r>
              <w:rPr>
                <w:rFonts w:ascii="Arial" w:hAnsi="Arial" w:cs="Arial" w:eastAsia="Arial"/>
                <w:b w:val="0"/>
                <w:sz w:val="18"/>
                <w:rtl w:val="0"/>
              </w:rPr>
              <w:t>‎KYC‎</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فعالیت بسته اعلام می‌شود، اما معیار پذیرش و کنترلِ «قرارداد و </w:t>
            </w:r>
            <w:r>
              <w:rPr>
                <w:rFonts w:ascii="Arial" w:hAnsi="Arial" w:cs="Arial" w:eastAsia="Arial"/>
                <w:b w:val="0"/>
                <w:sz w:val="18"/>
                <w:rtl w:val="0"/>
              </w:rPr>
              <w:t>‎KYC‎</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بدون آن، گسترش پوشش بازار با جذب و فعال‌سازی پذیرنده مناسب به نشانه‌های سطحی واکنش نشان می‌دهد و «گزارش </w:t>
            </w:r>
            <w:r>
              <w:rPr>
                <w:rFonts w:ascii="Arial" w:hAnsi="Arial" w:cs="Arial" w:eastAsia="Arial"/>
                <w:b w:val="0"/>
                <w:sz w:val="18"/>
                <w:rtl w:val="0"/>
              </w:rPr>
              <w:t>‎activation‎</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‎activation‎</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درآمد، مالی و تیم‌های اجرایی؛ بازبین «گزارش </w:t>
            </w:r>
            <w:r>
              <w:rPr>
                <w:rFonts w:ascii="Arial" w:hAnsi="Arial" w:cs="Arial" w:eastAsia="Arial"/>
                <w:b w:val="0"/>
                <w:sz w:val="18"/>
                <w:rtl w:val="0"/>
              </w:rPr>
              <w:t>‎activation‎</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گزارش </w:t>
            </w:r>
            <w:r>
              <w:rPr>
                <w:rFonts w:ascii="Arial" w:hAnsi="Arial" w:cs="Arial" w:eastAsia="Arial"/>
                <w:b w:val="0"/>
                <w:sz w:val="18"/>
                <w:rtl w:val="0"/>
              </w:rPr>
              <w:t>‎activation‎</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پذیرنده، تیم منطقه، عملیات، محصول و تسویه؛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نقشه‌برداری بازار</w:t>
      </w:r>
    </w:p>
    <w:p>
      <w:pPr>
        <w:pStyle w:val="ListBullet"/>
        <w:keepLines/>
        <w:spacing w:after="80" w:line="300" w:lineRule="auto"/>
        <w:ind w:left="540" w:hanging="271"/>
        <w:jc w:val="right"/>
        <w:bidi w:val="1"/>
      </w:pPr>
      <w:r>
        <w:rPr>
          <w:rFonts w:ascii="Arial" w:hAnsi="Arial" w:cs="Arial" w:eastAsia="Arial"/>
          <w:b w:val="0"/>
          <w:sz w:val="22"/>
          <w:rtl/>
        </w:rPr>
        <w:t xml:space="preserve">مراجعه و </w:t>
      </w:r>
      <w:r>
        <w:rPr>
          <w:rFonts w:ascii="Arial" w:hAnsi="Arial" w:cs="Arial" w:eastAsia="Arial"/>
          <w:b w:val="0"/>
          <w:sz w:val="22"/>
          <w:rtl w:val="0"/>
        </w:rPr>
        <w:t>‎pitch‎</w:t>
      </w:r>
    </w:p>
    <w:p>
      <w:pPr>
        <w:pStyle w:val="ListBullet"/>
        <w:keepLines/>
        <w:spacing w:after="80" w:line="300" w:lineRule="auto"/>
        <w:ind w:left="540" w:hanging="271"/>
        <w:jc w:val="right"/>
        <w:bidi w:val="1"/>
      </w:pPr>
      <w:r>
        <w:rPr>
          <w:rFonts w:ascii="Arial" w:hAnsi="Arial" w:cs="Arial" w:eastAsia="Arial"/>
          <w:b w:val="0"/>
          <w:sz w:val="22"/>
          <w:rtl/>
        </w:rPr>
        <w:t>احراز و قرارداد</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پذیرنده فعال، </w:t>
      </w:r>
      <w:r>
        <w:rPr>
          <w:rFonts w:ascii="Arial" w:hAnsi="Arial" w:cs="Arial" w:eastAsia="Arial"/>
          <w:b w:val="0"/>
          <w:sz w:val="22"/>
          <w:rtl w:val="0"/>
        </w:rPr>
        <w:t>‎activation rate‎</w:t>
      </w:r>
      <w:r>
        <w:rPr>
          <w:rFonts w:ascii="Arial" w:hAnsi="Arial" w:cs="Arial" w:eastAsia="Arial"/>
          <w:b w:val="0"/>
          <w:sz w:val="22"/>
          <w:rtl/>
        </w:rPr>
        <w:t>، زمان تا اولین تراکنش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پذیرنده، فروش میدانی، عملیات، ریسک، مالی، محصول و پشتیبانی،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نقشه منطقه/دسته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564"/>
        <w:gridCol w:w="1667"/>
        <w:gridCol w:w="5129"/>
      </w:tblGrid>
      <w:tr>
        <w:trPr>
          <w:cantSplit w:val="true"/>
          <w:tblHeader w:val="true"/>
        </w:trPr>
        <w:tc>
          <w:tcPr>
            <w:tcW w:type="dxa" w:w="256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پذیرنده فعال</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‎activation rate‎</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زمان تا اولین تراکنش</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هزینه جذب</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کیفیت و ماندگاری</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فروش میدانی</w:t>
      </w:r>
    </w:p>
    <w:p>
      <w:pPr>
        <w:pStyle w:val="ListBullet"/>
        <w:keepLines/>
        <w:spacing w:after="80" w:line="300" w:lineRule="auto"/>
        <w:ind w:left="540" w:hanging="271"/>
        <w:jc w:val="right"/>
        <w:bidi w:val="1"/>
      </w:pPr>
      <w:r>
        <w:rPr>
          <w:rFonts w:ascii="Arial" w:hAnsi="Arial" w:cs="Arial" w:eastAsia="Arial"/>
          <w:b w:val="0"/>
          <w:sz w:val="22"/>
          <w:rtl/>
        </w:rPr>
        <w:t>مذاکره</w:t>
      </w:r>
    </w:p>
    <w:p>
      <w:pPr>
        <w:pStyle w:val="ListBullet"/>
        <w:keepLines/>
        <w:spacing w:after="80" w:line="300" w:lineRule="auto"/>
        <w:ind w:left="540" w:hanging="271"/>
        <w:jc w:val="right"/>
        <w:bidi w:val="1"/>
      </w:pPr>
      <w:r>
        <w:rPr>
          <w:rFonts w:ascii="Arial" w:hAnsi="Arial" w:cs="Arial" w:eastAsia="Arial"/>
          <w:b w:val="0"/>
          <w:sz w:val="22"/>
          <w:rtl/>
        </w:rPr>
        <w:t>تحلیل منطقه</w:t>
      </w:r>
    </w:p>
    <w:p>
      <w:pPr>
        <w:pStyle w:val="ListBullet"/>
        <w:keepLines/>
        <w:spacing w:after="80" w:line="300" w:lineRule="auto"/>
        <w:ind w:left="540" w:hanging="271"/>
        <w:jc w:val="right"/>
        <w:bidi w:val="1"/>
      </w:pPr>
      <w:r>
        <w:rPr>
          <w:rFonts w:ascii="Arial" w:hAnsi="Arial" w:cs="Arial" w:eastAsia="Arial"/>
          <w:b w:val="0"/>
          <w:sz w:val="22"/>
          <w:rtl w:val="0"/>
        </w:rPr>
        <w:t>‎KYC‎</w:t>
      </w:r>
      <w:r>
        <w:rPr>
          <w:rFonts w:ascii="Arial" w:hAnsi="Arial" w:cs="Arial" w:eastAsia="Arial"/>
          <w:b w:val="0"/>
          <w:sz w:val="22"/>
          <w:rtl/>
        </w:rPr>
        <w:t xml:space="preserve"> و فرایند</w:t>
      </w:r>
    </w:p>
    <w:p>
      <w:pPr>
        <w:pStyle w:val="ListBullet"/>
        <w:keepLines/>
        <w:spacing w:after="80" w:line="300" w:lineRule="auto"/>
        <w:ind w:left="540" w:hanging="271"/>
        <w:jc w:val="right"/>
        <w:bidi w:val="1"/>
      </w:pPr>
      <w:r>
        <w:rPr>
          <w:rFonts w:ascii="Arial" w:hAnsi="Arial" w:cs="Arial" w:eastAsia="Arial"/>
          <w:b w:val="0"/>
          <w:sz w:val="22"/>
          <w:rtl/>
        </w:rPr>
        <w:t>انضباط پیگیری</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میدانی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میدانی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فروش میدانی.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میدانی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فروش میدانی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فروش میدانی: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فروش میدانی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مذاکره.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مذاکره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مذاکره: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مذاکره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منطقه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منطقه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تحلیل منطقه: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تحلیل منطقه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منطقه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منطقه: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تحلیل منطقه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‎KYC‎</w:t>
            </w:r>
            <w:r>
              <w:rPr>
                <w:rFonts w:ascii="Arial" w:hAnsi="Arial" w:cs="Arial" w:eastAsia="Arial"/>
                <w:b w:val="0"/>
                <w:sz w:val="18"/>
                <w:rtl/>
              </w:rPr>
              <w:t xml:space="preserve"> و فرایند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‎KYC‎</w:t>
            </w:r>
            <w:r>
              <w:rPr>
                <w:rFonts w:ascii="Arial" w:hAnsi="Arial" w:cs="Arial" w:eastAsia="Arial"/>
                <w:b w:val="0"/>
                <w:sz w:val="18"/>
                <w:rtl/>
              </w:rPr>
              <w:t xml:space="preserve"> و فرایند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کاربرد واقعی </w:t>
            </w:r>
            <w:r>
              <w:rPr>
                <w:rFonts w:ascii="Arial" w:hAnsi="Arial" w:cs="Arial" w:eastAsia="Arial"/>
                <w:b w:val="0"/>
                <w:sz w:val="18"/>
                <w:rtl w:val="0"/>
              </w:rPr>
              <w:t>‎KYC‎</w:t>
            </w:r>
            <w:r>
              <w:rPr>
                <w:rFonts w:ascii="Arial" w:hAnsi="Arial" w:cs="Arial" w:eastAsia="Arial"/>
                <w:b w:val="0"/>
                <w:sz w:val="18"/>
                <w:rtl/>
              </w:rPr>
              <w:t xml:space="preserve"> و فرایند: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درباره </w:t>
            </w:r>
            <w:r>
              <w:rPr>
                <w:rFonts w:ascii="Arial" w:hAnsi="Arial" w:cs="Arial" w:eastAsia="Arial"/>
                <w:b w:val="0"/>
                <w:sz w:val="18"/>
                <w:rtl w:val="0"/>
              </w:rPr>
              <w:t>‎KYC‎</w:t>
            </w:r>
            <w:r>
              <w:rPr>
                <w:rFonts w:ascii="Arial" w:hAnsi="Arial" w:cs="Arial" w:eastAsia="Arial"/>
                <w:b w:val="0"/>
                <w:sz w:val="18"/>
                <w:rtl/>
              </w:rPr>
              <w:t xml:space="preserve"> و فرایند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‎KYC‎</w:t>
            </w:r>
            <w:r>
              <w:rPr>
                <w:rFonts w:ascii="Arial" w:hAnsi="Arial" w:cs="Arial" w:eastAsia="Arial"/>
                <w:b w:val="0"/>
                <w:sz w:val="18"/>
                <w:rtl/>
              </w:rPr>
              <w:t xml:space="preserve"> و فرایند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‎KYC‎</w:t>
            </w:r>
            <w:r>
              <w:rPr>
                <w:rFonts w:ascii="Arial" w:hAnsi="Arial" w:cs="Arial" w:eastAsia="Arial"/>
                <w:b w:val="0"/>
                <w:sz w:val="18"/>
                <w:rtl/>
              </w:rPr>
              <w:t xml:space="preserve"> و فرایند: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بی‌نامِ </w:t>
            </w:r>
            <w:r>
              <w:rPr>
                <w:rFonts w:ascii="Arial" w:hAnsi="Arial" w:cs="Arial" w:eastAsia="Arial"/>
                <w:b w:val="0"/>
                <w:sz w:val="18"/>
                <w:rtl w:val="0"/>
              </w:rPr>
              <w:t>‎KYC‎</w:t>
            </w:r>
            <w:r>
              <w:rPr>
                <w:rFonts w:ascii="Arial" w:hAnsi="Arial" w:cs="Arial" w:eastAsia="Arial"/>
                <w:b w:val="0"/>
                <w:sz w:val="18"/>
                <w:rtl/>
              </w:rPr>
              <w:t xml:space="preserve"> و فرایند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انضباط پیگیری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انضباط پیگیری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انضباط پیگیری: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انضباط پیگیری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انضباط پیگیری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انضباط پیگیری: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انضباط پیگیری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516"/>
        <w:gridCol w:w="6844"/>
      </w:tblGrid>
      <w:tr>
        <w:trPr>
          <w:cantSplit w:val="true"/>
          <w:tblHeader w:val="true"/>
        </w:trPr>
        <w:tc>
          <w:tcPr>
            <w:tcW w:type="dxa" w:w="25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68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میدانی، مذاکره، تحلیل منطقه</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‎KYC‎</w:t>
            </w:r>
            <w:r>
              <w:rPr>
                <w:rFonts w:ascii="Arial" w:hAnsi="Arial" w:cs="Arial" w:eastAsia="Arial"/>
                <w:b w:val="0"/>
                <w:sz w:val="18"/>
                <w:rtl/>
              </w:rPr>
              <w:t xml:space="preserve"> و فرایند، انضباط پیگیری و آشنایی مالی/حقوقی مرتبط</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موبایل، </w:t>
            </w:r>
            <w:r>
              <w:rPr>
                <w:rFonts w:ascii="Arial" w:hAnsi="Arial" w:cs="Arial" w:eastAsia="Arial"/>
                <w:b w:val="0"/>
                <w:sz w:val="18"/>
                <w:rtl w:val="0"/>
              </w:rPr>
              <w:t>‎Maps‎</w:t>
            </w:r>
            <w:r>
              <w:rPr>
                <w:rFonts w:ascii="Arial" w:hAnsi="Arial" w:cs="Arial" w:eastAsia="Arial"/>
                <w:b w:val="0"/>
                <w:sz w:val="18"/>
                <w:rtl/>
              </w:rPr>
              <w:t xml:space="preserve">، داشبورد پذیرنده، ابزار </w:t>
            </w:r>
            <w:r>
              <w:rPr>
                <w:rFonts w:ascii="Arial" w:hAnsi="Arial" w:cs="Arial" w:eastAsia="Arial"/>
                <w:b w:val="0"/>
                <w:sz w:val="18"/>
                <w:rtl w:val="0"/>
              </w:rPr>
              <w:t>‎KYC‎</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صنعت و زبان</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نقشه‌برداری بازار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‎CRM‎</w:t>
      </w:r>
      <w:r>
        <w:rPr>
          <w:rFonts w:ascii="Arial" w:hAnsi="Arial" w:cs="Arial" w:eastAsia="Arial"/>
          <w:b w:val="0"/>
          <w:sz w:val="22"/>
          <w:rtl/>
        </w:rPr>
        <w:t xml:space="preserve"> موبایل و </w:t>
      </w:r>
      <w:r>
        <w:rPr>
          <w:rFonts w:ascii="Arial" w:hAnsi="Arial" w:cs="Arial" w:eastAsia="Arial"/>
          <w:b w:val="0"/>
          <w:sz w:val="22"/>
          <w:rtl w:val="0"/>
        </w:rPr>
        <w:t>‎Maps‎</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نقشه منطقه/دسته، </w:t>
      </w:r>
      <w:r>
        <w:rPr>
          <w:rFonts w:ascii="Arial" w:hAnsi="Arial" w:cs="Arial" w:eastAsia="Arial"/>
          <w:b w:val="0"/>
          <w:sz w:val="22"/>
          <w:rtl w:val="0"/>
        </w:rPr>
        <w:t>‎pipeline‎</w:t>
      </w:r>
      <w:r>
        <w:rPr>
          <w:rFonts w:ascii="Arial" w:hAnsi="Arial" w:cs="Arial" w:eastAsia="Arial"/>
          <w:b w:val="0"/>
          <w:sz w:val="22"/>
          <w:rtl/>
        </w:rPr>
        <w:t xml:space="preserve"> پذیرنده، قرارداد و </w:t>
      </w:r>
      <w:r>
        <w:rPr>
          <w:rFonts w:ascii="Arial" w:hAnsi="Arial" w:cs="Arial" w:eastAsia="Arial"/>
          <w:b w:val="0"/>
          <w:sz w:val="22"/>
          <w:rtl w:val="0"/>
        </w:rPr>
        <w:t>‎KYC‎</w:t>
      </w:r>
      <w:r>
        <w:rPr>
          <w:rFonts w:ascii="Arial" w:hAnsi="Arial" w:cs="Arial" w:eastAsia="Arial"/>
          <w:b w:val="0"/>
          <w:sz w:val="22"/>
          <w:rtl/>
        </w:rPr>
        <w:t xml:space="preserve">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نقشه منطقه/دسته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تعداد قرارداد می‌تواند پذیرنده بی‌کیفیت بسازد؛ کار میدانی، رفت‌وآمد و وابستگی </w:t>
            </w:r>
            <w:r>
              <w:rPr>
                <w:rFonts w:ascii="Arial" w:hAnsi="Arial" w:cs="Arial" w:eastAsia="Arial"/>
                <w:b w:val="0"/>
                <w:sz w:val="18"/>
                <w:rtl w:val="0"/>
              </w:rPr>
              <w:t>‎activation‎</w:t>
            </w:r>
            <w:r>
              <w:rPr>
                <w:rFonts w:ascii="Arial" w:hAnsi="Arial" w:cs="Arial" w:eastAsia="Arial"/>
                <w:b w:val="0"/>
                <w:sz w:val="18"/>
                <w:rtl/>
              </w:rPr>
              <w:t xml:space="preserve"> به محصول و تسویه فرساینده است.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xml:space="preserve">، ۱۴۰۵] این </w:t>
            </w:r>
            <w:r>
              <w:rPr>
                <w:rFonts w:ascii="Arial" w:hAnsi="Arial" w:cs="Arial" w:eastAsia="Arial"/>
                <w:b w:val="0"/>
                <w:color w:val="0B2545"/>
                <w:sz w:val="20"/>
                <w:rtl w:val="0"/>
              </w:rPr>
              <w:t>‎URL‎</w:t>
            </w:r>
            <w:r>
              <w:rPr>
                <w:rFonts w:ascii="Arial" w:hAnsi="Arial" w:cs="Arial" w:eastAsia="Arial"/>
                <w:b w:val="0"/>
                <w:color w:val="0B2545"/>
                <w:sz w:val="20"/>
                <w:rtl/>
              </w:rPr>
              <w:t xml:space="preserve"> پروکسی گسترده‌تر است و فقط آگهی‌های منطبق با وظایف نقش باید کدگذاری شوند.</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‎Market Development‎</w:t>
      </w:r>
      <w:r>
        <w:rPr>
          <w:rFonts w:ascii="Arial" w:hAnsi="Arial" w:cs="Arial" w:eastAsia="Arial"/>
          <w:b w:val="0"/>
          <w:sz w:val="22"/>
          <w:rtl/>
        </w:rPr>
        <w:t xml:space="preserve"> / </w:t>
      </w:r>
      <w:r>
        <w:rPr>
          <w:rFonts w:ascii="Arial" w:hAnsi="Arial" w:cs="Arial" w:eastAsia="Arial"/>
          <w:b w:val="0"/>
          <w:sz w:val="22"/>
          <w:rtl w:val="0"/>
        </w:rPr>
        <w:t>‎Merchant Acquisition‎</w:t>
      </w:r>
      <w:r>
        <w:rPr>
          <w:rFonts w:ascii="Arial" w:hAnsi="Arial" w:cs="Arial" w:eastAsia="Arial"/>
          <w:b w:val="0"/>
          <w:sz w:val="22"/>
          <w:rtl/>
        </w:rPr>
        <w:t xml:space="preserve"> ممکن است زیر </w:t>
      </w:r>
      <w:r>
        <w:rPr>
          <w:rFonts w:ascii="Arial" w:hAnsi="Arial" w:cs="Arial" w:eastAsia="Arial"/>
          <w:b w:val="0"/>
          <w:sz w:val="22"/>
          <w:rtl w:val="0"/>
        </w:rPr>
        <w:t>‎Field Sales‎</w:t>
      </w:r>
      <w:r>
        <w:rPr>
          <w:rFonts w:ascii="Arial" w:hAnsi="Arial" w:cs="Arial" w:eastAsia="Arial"/>
          <w:b w:val="0"/>
          <w:sz w:val="22"/>
          <w:rtl/>
        </w:rPr>
        <w:t xml:space="preserve">،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‎Account Management‎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‎market development merchant acquisition‎</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کارشناس توسعه بازار و جذب پذیرنده نیست. ثابت، پورسانت بر قرارداد و پورسانت بر پذیرنده فعال سه چیز متفاوت‌اند؛ آگهی دقیق و قابل آرشیو کافی برای برآورد ۱۴۰۵ یافت نشد.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توسعه بازار و جذب پذیرنده».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توسعه بازار و جذب پذیرنده مستقل → سینیور/لید → مدیر حوزه یا متخصص ارشد. شاخه‌های تخصصی می‌توانند به </w:t>
      </w:r>
      <w:r>
        <w:rPr>
          <w:rFonts w:ascii="Arial" w:hAnsi="Arial" w:cs="Arial" w:eastAsia="Arial"/>
          <w:b w:val="0"/>
          <w:sz w:val="22"/>
          <w:rtl w:val="0"/>
        </w:rPr>
        <w:t>‎Field Sales‎</w:t>
      </w:r>
      <w:r>
        <w:rPr>
          <w:rFonts w:ascii="Arial" w:hAnsi="Arial" w:cs="Arial" w:eastAsia="Arial"/>
          <w:b w:val="0"/>
          <w:sz w:val="22"/>
          <w:rtl/>
        </w:rPr>
        <w:t xml:space="preserve">، </w:t>
      </w:r>
      <w:r>
        <w:rPr>
          <w:rFonts w:ascii="Arial" w:hAnsi="Arial" w:cs="Arial" w:eastAsia="Arial"/>
          <w:b w:val="0"/>
          <w:sz w:val="22"/>
          <w:rtl w:val="0"/>
        </w:rPr>
        <w:t>‎B2B Sales‎</w:t>
      </w:r>
      <w:r>
        <w:rPr>
          <w:rFonts w:ascii="Arial" w:hAnsi="Arial" w:cs="Arial" w:eastAsia="Arial"/>
          <w:b w:val="0"/>
          <w:sz w:val="22"/>
          <w:rtl/>
        </w:rPr>
        <w:t xml:space="preserve">، </w:t>
      </w:r>
      <w:r>
        <w:rPr>
          <w:rFonts w:ascii="Arial" w:hAnsi="Arial" w:cs="Arial" w:eastAsia="Arial"/>
          <w:b w:val="0"/>
          <w:sz w:val="22"/>
          <w:rtl w:val="0"/>
        </w:rPr>
        <w:t>‎Account Management‎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59"/>
        <w:gridCol w:w="1872"/>
        <w:gridCol w:w="1771"/>
        <w:gridCol w:w="1518"/>
        <w:gridCol w:w="1467"/>
        <w:gridCol w:w="1973"/>
      </w:tblGrid>
      <w:tr>
        <w:trPr>
          <w:cantSplit w:val="true"/>
          <w:tblHeader w:val="true"/>
        </w:trPr>
        <w:tc>
          <w:tcPr>
            <w:tcW w:type="dxa" w:w="7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منطقه/دسته با کنترل کیفیت</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پذیرنده و بهبود </w:t>
            </w:r>
            <w:r>
              <w:rPr>
                <w:rFonts w:ascii="Arial" w:hAnsi="Arial" w:cs="Arial" w:eastAsia="Arial"/>
                <w:b w:val="0"/>
                <w:sz w:val="18"/>
                <w:rtl w:val="0"/>
              </w:rPr>
              <w:t>‎KPI‎</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قرارداد و </w:t>
            </w:r>
            <w:r>
              <w:rPr>
                <w:rFonts w:ascii="Arial" w:hAnsi="Arial" w:cs="Arial" w:eastAsia="Arial"/>
                <w:b w:val="0"/>
                <w:sz w:val="18"/>
                <w:rtl w:val="0"/>
              </w:rPr>
              <w:t>‎KYC‎</w:t>
            </w:r>
            <w:r>
              <w:rPr>
                <w:rFonts w:ascii="Arial" w:hAnsi="Arial" w:cs="Arial" w:eastAsia="Arial"/>
                <w:b w:val="0"/>
                <w:sz w:val="18"/>
                <w:rtl/>
              </w:rPr>
              <w:t>، آموزش و تصمیم پرریسک</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نقشه‌برداری بازار، مراجعه و </w:t>
      </w:r>
      <w:r>
        <w:rPr>
          <w:rFonts w:ascii="Arial" w:hAnsi="Arial" w:cs="Arial" w:eastAsia="Arial"/>
          <w:b w:val="0"/>
          <w:sz w:val="22"/>
          <w:rtl w:val="0"/>
        </w:rPr>
        <w:t>‎pitch‎</w:t>
      </w:r>
      <w:r>
        <w:rPr>
          <w:rFonts w:ascii="Arial" w:hAnsi="Arial" w:cs="Arial" w:eastAsia="Arial"/>
          <w:b w:val="0"/>
          <w:sz w:val="22"/>
          <w:rtl/>
        </w:rPr>
        <w:t xml:space="preserve">، احراز و قرارداد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010"/>
        <w:gridCol w:w="1414"/>
        <w:gridCol w:w="2761"/>
        <w:gridCol w:w="2289"/>
        <w:gridCol w:w="1010"/>
        <w:gridCol w:w="876"/>
      </w:tblGrid>
      <w:tr>
        <w:trPr>
          <w:cantSplit w:val="true"/>
          <w:tblHeader w:val="true"/>
        </w:trPr>
        <w:tc>
          <w:tcPr>
            <w:tcW w:type="dxa" w:w="10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4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7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8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10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7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موبایل</w:t>
            </w:r>
          </w:p>
        </w:tc>
        <w:tc>
          <w:tcPr>
            <w:tcW w:type="dxa" w:w="14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نقشه‌برداری بازار</w:t>
            </w:r>
          </w:p>
        </w:tc>
        <w:tc>
          <w:tcPr>
            <w:tcW w:type="dxa" w:w="2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‎Maps‎</w:t>
            </w:r>
          </w:p>
        </w:tc>
        <w:tc>
          <w:tcPr>
            <w:tcW w:type="dxa" w:w="14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مراجعه و </w:t>
            </w:r>
            <w:r>
              <w:rPr>
                <w:rFonts w:ascii="Arial" w:hAnsi="Arial" w:cs="Arial" w:eastAsia="Arial"/>
                <w:b w:val="0"/>
                <w:sz w:val="18"/>
                <w:rtl w:val="0"/>
              </w:rPr>
              <w:t>‎pitch‎</w:t>
            </w:r>
          </w:p>
        </w:tc>
        <w:tc>
          <w:tcPr>
            <w:tcW w:type="dxa" w:w="2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پذیرنده</w:t>
            </w:r>
          </w:p>
        </w:tc>
        <w:tc>
          <w:tcPr>
            <w:tcW w:type="dxa" w:w="14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احراز و قرارداد</w:t>
            </w:r>
          </w:p>
        </w:tc>
        <w:tc>
          <w:tcPr>
            <w:tcW w:type="dxa" w:w="2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ابزار </w:t>
            </w:r>
            <w:r>
              <w:rPr>
                <w:rFonts w:ascii="Arial" w:hAnsi="Arial" w:cs="Arial" w:eastAsia="Arial"/>
                <w:b w:val="0"/>
                <w:sz w:val="18"/>
                <w:rtl w:val="0"/>
              </w:rPr>
              <w:t>‎KYC‎</w:t>
            </w:r>
          </w:p>
        </w:tc>
        <w:tc>
          <w:tcPr>
            <w:tcW w:type="dxa" w:w="14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آموزش و فعال‌سازی</w:t>
            </w:r>
          </w:p>
        </w:tc>
        <w:tc>
          <w:tcPr>
            <w:tcW w:type="dxa" w:w="2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p>
        </w:tc>
        <w:tc>
          <w:tcPr>
            <w:tcW w:type="dxa" w:w="14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رفع مانع اولین تراکنش</w:t>
            </w:r>
          </w:p>
        </w:tc>
        <w:tc>
          <w:tcPr>
            <w:tcW w:type="dxa" w:w="27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«نقشه‌برداری بازار»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‎activation rate‎</w:t>
            </w:r>
            <w:r>
              <w:rPr>
                <w:rFonts w:ascii="Arial" w:hAnsi="Arial" w:cs="Arial" w:eastAsia="Arial"/>
                <w:b w:val="0"/>
                <w:sz w:val="18"/>
                <w:rtl/>
              </w:rPr>
              <w:t>» بهتر اما «زمان تا اولین تراکنش»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«نقشه منطقه/دسته»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‎CRM‎</w:t>
            </w:r>
            <w:r>
              <w:rPr>
                <w:rFonts w:ascii="Arial" w:hAnsi="Arial" w:cs="Arial" w:eastAsia="Arial"/>
                <w:b w:val="0"/>
                <w:sz w:val="18"/>
                <w:rtl/>
              </w:rPr>
              <w:t xml:space="preserve"> موبایل»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‎pipeline‎</w:t>
            </w:r>
            <w:r>
              <w:rPr>
                <w:rFonts w:ascii="Arial" w:hAnsi="Arial" w:cs="Arial" w:eastAsia="Arial"/>
                <w:b w:val="0"/>
                <w:sz w:val="18"/>
                <w:rtl/>
              </w:rPr>
              <w:t xml:space="preserve"> پذیرنده»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«پذیرنده فعال»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«هزینه جذب»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«کیفیت و ماندگاری»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نمونه‌ای بگویید که «مراجعه و </w:t>
            </w:r>
            <w:r>
              <w:rPr>
                <w:rFonts w:ascii="Arial" w:hAnsi="Arial" w:cs="Arial" w:eastAsia="Arial"/>
                <w:b w:val="0"/>
                <w:sz w:val="18"/>
                <w:rtl w:val="0"/>
              </w:rPr>
              <w:t>‎pitch‎</w:t>
            </w:r>
            <w:r>
              <w:rPr>
                <w:rFonts w:ascii="Arial" w:hAnsi="Arial" w:cs="Arial" w:eastAsia="Arial"/>
                <w:b w:val="0"/>
                <w:sz w:val="18"/>
                <w:rtl/>
              </w:rPr>
              <w:t>»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«احراز و قرارداد»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پذیرنده، تیم منطقه، عملیات، محصول و تسویه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توجه به اینکه فشار تعداد قرارداد می‌تواند پذیرنده بی‌کیفیت بسازد؛ کار میدانی، رفت‌وآمد و وابستگی </w:t>
            </w:r>
            <w:r>
              <w:rPr>
                <w:rFonts w:ascii="Arial" w:hAnsi="Arial" w:cs="Arial" w:eastAsia="Arial"/>
                <w:b w:val="0"/>
                <w:sz w:val="18"/>
                <w:rtl w:val="0"/>
              </w:rPr>
              <w:t>‎activation‎</w:t>
            </w:r>
            <w:r>
              <w:rPr>
                <w:rFonts w:ascii="Arial" w:hAnsi="Arial" w:cs="Arial" w:eastAsia="Arial"/>
                <w:b w:val="0"/>
                <w:sz w:val="18"/>
                <w:rtl/>
              </w:rPr>
              <w:t xml:space="preserve"> به محصول و تسویه فرساینده است،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«نقشه‌برداری بازار»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نمونه‌ای بگویید که «مراجعه و </w:t>
      </w:r>
      <w:r>
        <w:rPr>
          <w:rFonts w:ascii="Arial" w:hAnsi="Arial" w:cs="Arial" w:eastAsia="Arial"/>
          <w:b w:val="0"/>
          <w:sz w:val="22"/>
          <w:rtl w:val="0"/>
        </w:rPr>
        <w:t>‎pitch‎</w:t>
      </w:r>
      <w:r>
        <w:rPr>
          <w:rFonts w:ascii="Arial" w:hAnsi="Arial" w:cs="Arial" w:eastAsia="Arial"/>
          <w:b w:val="0"/>
          <w:sz w:val="22"/>
          <w:rtl/>
        </w:rPr>
        <w:t>»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«پذیرنده فعال»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‎activation rate‎</w:t>
      </w:r>
      <w:r>
        <w:rPr>
          <w:rFonts w:ascii="Arial" w:hAnsi="Arial" w:cs="Arial" w:eastAsia="Arial"/>
          <w:b w:val="0"/>
          <w:sz w:val="22"/>
          <w:rtl/>
        </w:rPr>
        <w:t xml:space="preserve">» بهتر اما «زمان تا اولین تراکنش»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«نقشه منطقه/دسته»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توسعه بازار و جذب پذیرنده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10"/>
        <w:gridCol w:w="1961"/>
        <w:gridCol w:w="1961"/>
        <w:gridCol w:w="1747"/>
        <w:gridCol w:w="1961"/>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74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میدانی / </w:t>
            </w:r>
            <w:r>
              <w:rPr>
                <w:rFonts w:ascii="Arial" w:hAnsi="Arial" w:cs="Arial" w:eastAsia="Arial"/>
                <w:b w:val="0"/>
                <w:sz w:val="18"/>
                <w:rtl w:val="0"/>
              </w:rPr>
              <w:t>‎Field Sales‎</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«فروش میدانی» این اشتراک مشخصاً با تمرکز بر توسعه رابطه و فرصت تجاری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فروش میدانی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«فروش سازمانی» این اشتراک مشخصاً با تمرکز بر توسعه رابطه و فرصت تجاری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مشتری/شریک و تیم تحویل</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w:t>
            </w:r>
            <w:r>
              <w:rPr>
                <w:rFonts w:ascii="Arial" w:hAnsi="Arial" w:cs="Arial" w:eastAsia="Arial"/>
                <w:b w:val="0"/>
                <w:sz w:val="18"/>
                <w:rtl w:val="0"/>
              </w:rPr>
              <w:t>‎CRM‎</w:t>
            </w:r>
            <w:r>
              <w:rPr>
                <w:rFonts w:ascii="Arial" w:hAnsi="Arial" w:cs="Arial" w:eastAsia="Arial"/>
                <w:b w:val="0"/>
                <w:sz w:val="18"/>
                <w:rtl/>
              </w:rPr>
              <w:t>، ارائه و قرارداد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«مدیریت حساب» این اشتراک مشخصاً با تمرکز بر حفظ و توسعه رابطه پس از فروش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مدیریت حساب عمدتاً مالک «برنامه حساب، تمدید/توسعه و سلامت رابطه»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و تیم تحویل</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w:t>
            </w:r>
            <w:r>
              <w:rPr>
                <w:rFonts w:ascii="Arial" w:hAnsi="Arial" w:cs="Arial" w:eastAsia="Arial"/>
                <w:b w:val="0"/>
                <w:sz w:val="18"/>
                <w:rtl w:val="0"/>
              </w:rPr>
              <w:t>‎CRM‎</w:t>
            </w:r>
            <w:r>
              <w:rPr>
                <w:rFonts w:ascii="Arial" w:hAnsi="Arial" w:cs="Arial" w:eastAsia="Arial"/>
                <w:b w:val="0"/>
                <w:sz w:val="18"/>
                <w:rtl/>
              </w:rPr>
              <w:t>، قرارداد و گزارش سلامت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«مشارکت‌ها» این اشتراک مشخصاً با تمرکز بر ساخت فرصت رشد از بازار یا شریک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شریک، مدیریت و تیم محصول/مالی</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پژوهش، </w:t>
            </w:r>
            <w:r>
              <w:rPr>
                <w:rFonts w:ascii="Arial" w:hAnsi="Arial" w:cs="Arial" w:eastAsia="Arial"/>
                <w:b w:val="0"/>
                <w:sz w:val="18"/>
                <w:rtl w:val="0"/>
              </w:rPr>
              <w:t>‎CRM‎</w:t>
            </w:r>
            <w:r>
              <w:rPr>
                <w:rFonts w:ascii="Arial" w:hAnsi="Arial" w:cs="Arial" w:eastAsia="Arial"/>
                <w:b w:val="0"/>
                <w:sz w:val="18"/>
                <w:rtl/>
              </w:rPr>
              <w:t xml:space="preserve"> و مدل مالی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بازارگاه / </w:t>
            </w:r>
            <w:r>
              <w:rPr>
                <w:rFonts w:ascii="Arial" w:hAnsi="Arial" w:cs="Arial" w:eastAsia="Arial"/>
                <w:b w:val="0"/>
                <w:sz w:val="18"/>
                <w:rtl w:val="0"/>
              </w:rPr>
              <w:t>‎Marketplace Operations‎</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فروش میدانی، توسعه شبکه و کیفیت فعال‌سازی و هماهنگی با پذیرنده، تیم منطقه، عملیات، محصول و تسویه تکیه دارند؛ در «عملیات بازارگاه»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عملیات بازارگاه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تجاری / </w:t>
            </w:r>
            <w:r>
              <w:rPr>
                <w:rFonts w:ascii="Arial" w:hAnsi="Arial" w:cs="Arial" w:eastAsia="Arial"/>
                <w:b w:val="0"/>
                <w:sz w:val="18"/>
                <w:rtl w:val="0"/>
              </w:rPr>
              <w:t>‎Trade Marketing‎</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«بازاریابی تجاری» این اشتراک مشخصاً با تمرکز بر ساخت تقاضا، جایگاه یا پوشش بازار دیده می‌شود.</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xml:space="preserve">» است؛ بازاریابی تجاری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74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مخاطب، فروش و محصول</w:t>
            </w:r>
          </w:p>
        </w:tc>
        <w:tc>
          <w:tcPr>
            <w:tcW w:type="dxa" w:w="19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اپ میدانی، نقشه، گزارش منطقه و ابزار </w:t>
            </w:r>
            <w:r>
              <w:rPr>
                <w:rFonts w:ascii="Arial" w:hAnsi="Arial" w:cs="Arial" w:eastAsia="Arial"/>
                <w:b w:val="0"/>
                <w:sz w:val="18"/>
                <w:rtl w:val="0"/>
              </w:rPr>
              <w:t>‎KYC‎</w:t>
            </w:r>
            <w:r>
              <w:rPr>
                <w:rFonts w:ascii="Arial" w:hAnsi="Arial" w:cs="Arial" w:eastAsia="Arial"/>
                <w:b w:val="0"/>
                <w:sz w:val="18"/>
                <w:rtl/>
              </w:rPr>
              <w:t xml:space="preserve">؛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87"/>
        <w:gridCol w:w="1913"/>
        <w:gridCol w:w="1913"/>
        <w:gridCol w:w="1913"/>
        <w:gridCol w:w="1914"/>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میدانی / </w:t>
            </w:r>
            <w:r>
              <w:rPr>
                <w:rFonts w:ascii="Arial" w:hAnsi="Arial" w:cs="Arial" w:eastAsia="Arial"/>
                <w:b w:val="0"/>
                <w:sz w:val="18"/>
                <w:rtl w:val="0"/>
              </w:rPr>
              <w:t>‎Field Sales‎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فشار تعداد قرارداد و تبدیل آن به پذیرنده کم‌کیفیت یا غیرفعال؛ مسیر نزدیک: سهمیه، ردشدن و وابستگی بیرونی</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شاهد فروش/رابطه</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فشار تعداد قرارداد و تبدیل آن به پذیرنده کم‌کیفیت یا غیرفعال؛ مسیر نزدیک: سهمیه، ردشدن و وابستگی بیرونی</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فروش یا مالکیت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بسیار زیاد؛ تحلیل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نیازمند شاهد مدیریت مشتری</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فشار تعداد قرارداد و تبدیل آن به پذیرنده کم‌کیفیت یا غیرفعال؛ مسیر نزدیک: انتظار متعارض مشتری و تحویل</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رهبری حساب/موفقیت مشتری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تجاری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فرصت/مذاکره</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فشار تعداد قرارداد و تبدیل آن به پذیرنده کم‌کیفیت یا غیرفعال؛ مسیر نزدیک: ابهام و چرخه طولانی</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مدیریت </w:t>
            </w:r>
            <w:r>
              <w:rPr>
                <w:rFonts w:ascii="Arial" w:hAnsi="Arial" w:cs="Arial" w:eastAsia="Arial"/>
                <w:b w:val="0"/>
                <w:sz w:val="18"/>
                <w:rtl w:val="0"/>
              </w:rPr>
              <w:t>‎BD/Partnerships‎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بازارگاه / </w:t>
            </w:r>
            <w:r>
              <w:rPr>
                <w:rFonts w:ascii="Arial" w:hAnsi="Arial" w:cs="Arial" w:eastAsia="Arial"/>
                <w:b w:val="0"/>
                <w:sz w:val="18"/>
                <w:rtl w:val="0"/>
              </w:rPr>
              <w:t>‎Marketplace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فشار تعداد قرارداد و تبدیل آن به پذیرنده کم‌کیفیت یا غیرفعال؛ مسیر نزدیک: مالکیت مبهم و درخواست‌های </w:t>
            </w:r>
            <w:r>
              <w:rPr>
                <w:rFonts w:ascii="Arial" w:hAnsi="Arial" w:cs="Arial" w:eastAsia="Arial"/>
                <w:b w:val="0"/>
                <w:sz w:val="18"/>
                <w:rtl w:val="0"/>
              </w:rPr>
              <w:t>‎ad hoc‎</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تجاری / </w:t>
            </w:r>
            <w:r>
              <w:rPr>
                <w:rFonts w:ascii="Arial" w:hAnsi="Arial" w:cs="Arial" w:eastAsia="Arial"/>
                <w:b w:val="0"/>
                <w:sz w:val="18"/>
                <w:rtl w:val="0"/>
              </w:rPr>
              <w:t>‎Trade Marketing‎</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‎campaign/case‎</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فشار تعداد قرارداد و تبدیل آن به پذیرنده کم‌کیفیت یا غیرفعال؛ مسیر نزدیک: انتساب اثر و فشار کوتاه‌مدت</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‎strategy/lead marketing‎</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740"/>
        <w:gridCol w:w="3451"/>
        <w:gridCol w:w="344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4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میدانی / </w:t>
            </w:r>
            <w:r>
              <w:rPr>
                <w:rFonts w:ascii="Arial" w:hAnsi="Arial" w:cs="Arial" w:eastAsia="Arial"/>
                <w:b w:val="0"/>
                <w:sz w:val="18"/>
                <w:rtl w:val="0"/>
              </w:rPr>
              <w:t>‎Field Sales‎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«فروش میدانی»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سازمانی / </w:t>
            </w:r>
            <w:r>
              <w:rPr>
                <w:rFonts w:ascii="Arial" w:hAnsi="Arial" w:cs="Arial" w:eastAsia="Arial"/>
                <w:b w:val="0"/>
                <w:sz w:val="18"/>
                <w:rtl w:val="0"/>
              </w:rPr>
              <w:t>‎B2B Sales‎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‎prospecting‎</w:t>
            </w:r>
            <w:r>
              <w:rPr>
                <w:rFonts w:ascii="Arial" w:hAnsi="Arial" w:cs="Arial" w:eastAsia="Arial"/>
                <w:b w:val="0"/>
                <w:sz w:val="18"/>
                <w:rtl/>
              </w:rPr>
              <w:t xml:space="preserve"> و یادداشت کمک می‌گیرد؛ معامله انسانی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«فروش سازمانی»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حساب / </w:t>
            </w:r>
            <w:r>
              <w:rPr>
                <w:rFonts w:ascii="Arial" w:hAnsi="Arial" w:cs="Arial" w:eastAsia="Arial"/>
                <w:b w:val="0"/>
                <w:sz w:val="18"/>
                <w:rtl w:val="0"/>
              </w:rPr>
              <w:t>‎Account Management‎</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آماده‌سازی و هشدار کمک می‌گیرد؛ رابطه انسانی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«مدیریت حساب»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مشارکت‌ها / </w:t>
            </w:r>
            <w:r>
              <w:rPr>
                <w:rFonts w:ascii="Arial" w:hAnsi="Arial" w:cs="Arial" w:eastAsia="Arial"/>
                <w:b w:val="0"/>
                <w:sz w:val="18"/>
                <w:rtl w:val="0"/>
              </w:rPr>
              <w:t>‎Partnerships‎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پژوهش سریع‌تر؛ انتخاب شریک و معامله انسانی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«مشارکت‌ها»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بازارگاه / </w:t>
            </w:r>
            <w:r>
              <w:rPr>
                <w:rFonts w:ascii="Arial" w:hAnsi="Arial" w:cs="Arial" w:eastAsia="Arial"/>
                <w:b w:val="0"/>
                <w:sz w:val="18"/>
                <w:rtl w:val="0"/>
              </w:rPr>
              <w:t>‎Marketplace Operations‎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بازارگاه»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تجاری / </w:t>
            </w:r>
            <w:r>
              <w:rPr>
                <w:rFonts w:ascii="Arial" w:hAnsi="Arial" w:cs="Arial" w:eastAsia="Arial"/>
                <w:b w:val="0"/>
                <w:sz w:val="18"/>
                <w:rtl w:val="0"/>
              </w:rPr>
              <w:t>‎Trade Marketing‎</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تولید سریع‌تر؛ جایگاه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«بازاریابی تجاری»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نقشه‌برداری بازار، مراجعه و </w:t>
      </w:r>
      <w:r>
        <w:rPr>
          <w:rFonts w:ascii="Arial" w:hAnsi="Arial" w:cs="Arial" w:eastAsia="Arial"/>
          <w:b w:val="0"/>
          <w:sz w:val="22"/>
          <w:rtl w:val="0"/>
        </w:rPr>
        <w:t>‎pitch‎</w:t>
      </w:r>
      <w:r>
        <w:rPr>
          <w:rFonts w:ascii="Arial" w:hAnsi="Arial" w:cs="Arial" w:eastAsia="Arial"/>
          <w:b w:val="0"/>
          <w:sz w:val="22"/>
          <w:rtl/>
        </w:rPr>
        <w:t>، احراز و قرارداد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 xml:space="preserve">ممکن است آزاردهنده باشد اگر فشار تعداد قرارداد می‌تواند پذیرنده بی‌کیفیت بسازد؛ کار میدانی، رفت‌وآمد و وابستگی </w:t>
      </w:r>
      <w:r>
        <w:rPr>
          <w:rFonts w:ascii="Arial" w:hAnsi="Arial" w:cs="Arial" w:eastAsia="Arial"/>
          <w:b w:val="0"/>
          <w:sz w:val="22"/>
          <w:rtl w:val="0"/>
        </w:rPr>
        <w:t>‎activation‎</w:t>
      </w:r>
      <w:r>
        <w:rPr>
          <w:rFonts w:ascii="Arial" w:hAnsi="Arial" w:cs="Arial" w:eastAsia="Arial"/>
          <w:b w:val="0"/>
          <w:sz w:val="22"/>
          <w:rtl/>
        </w:rPr>
        <w:t xml:space="preserve"> به محصول و تسویه فرساینده است.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نقشه منطقه/دسته و </w:t>
      </w:r>
      <w:r>
        <w:rPr>
          <w:rFonts w:ascii="Arial" w:hAnsi="Arial" w:cs="Arial" w:eastAsia="Arial"/>
          <w:b w:val="0"/>
          <w:sz w:val="22"/>
          <w:rtl w:val="0"/>
        </w:rPr>
        <w:t>‎pipeline‎</w:t>
      </w:r>
      <w:r>
        <w:rPr>
          <w:rFonts w:ascii="Arial" w:hAnsi="Arial" w:cs="Arial" w:eastAsia="Arial"/>
          <w:b w:val="0"/>
          <w:sz w:val="22"/>
          <w:rtl/>
        </w:rPr>
        <w:t xml:space="preserve"> پذیرنده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نقشه منطقه/دسته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پذیرنده فعال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کمبود پوشش عرضه و دشواری تبدیل فروشنده سنتی به شریک فعال پلتفرم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مراجعه و </w:t>
      </w:r>
      <w:r>
        <w:rPr>
          <w:rFonts w:ascii="Arial" w:hAnsi="Arial" w:cs="Arial" w:eastAsia="Arial"/>
          <w:b w:val="0"/>
          <w:sz w:val="22"/>
          <w:rtl w:val="0"/>
        </w:rPr>
        <w:t>‎pitch‎</w:t>
      </w:r>
      <w:r>
        <w:rPr>
          <w:rFonts w:ascii="Arial" w:hAnsi="Arial" w:cs="Arial" w:eastAsia="Arial"/>
          <w:b w:val="0"/>
          <w:sz w:val="22"/>
          <w:rtl/>
        </w:rPr>
        <w:t xml:space="preserve">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توسعه بازار و جذب پذیرنده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توسعه بازار و جذب پذیرنده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‎Market Development‎</w:t>
            </w:r>
            <w:r>
              <w:rPr>
                <w:rFonts w:ascii="Arial" w:hAnsi="Arial" w:cs="Arial" w:eastAsia="Arial"/>
                <w:b w:val="0"/>
                <w:sz w:val="18"/>
                <w:rtl/>
              </w:rPr>
              <w:t xml:space="preserve"> / </w:t>
            </w:r>
            <w:r>
              <w:rPr>
                <w:rFonts w:ascii="Arial" w:hAnsi="Arial" w:cs="Arial" w:eastAsia="Arial"/>
                <w:b w:val="0"/>
                <w:sz w:val="18"/>
                <w:rtl w:val="0"/>
              </w:rPr>
              <w:t>‎Merchant Acquisition‎</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پذیرندگان یا فروشندگان هدف را شناسایی، متقاعد، قرارداد، فعال و برای شروع معامله آماده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تعداد قرارداد می‌تواند پذیرنده بی‌کیفیت بسازد؛ کار میدانی، رفت‌وآمد و وابستگی </w:t>
            </w:r>
            <w:r>
              <w:rPr>
                <w:rFonts w:ascii="Arial" w:hAnsi="Arial" w:cs="Arial" w:eastAsia="Arial"/>
                <w:b w:val="0"/>
                <w:sz w:val="18"/>
                <w:rtl w:val="0"/>
              </w:rPr>
              <w:t>‎activation‎</w:t>
            </w:r>
            <w:r>
              <w:rPr>
                <w:rFonts w:ascii="Arial" w:hAnsi="Arial" w:cs="Arial" w:eastAsia="Arial"/>
                <w:b w:val="0"/>
                <w:sz w:val="18"/>
                <w:rtl/>
              </w:rPr>
              <w:t xml:space="preserve"> به محصول و تسویه فرساینده است.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فروش میدانی، مذاکره، تحلیل منطقه، </w:t>
            </w:r>
            <w:r>
              <w:rPr>
                <w:rFonts w:ascii="Arial" w:hAnsi="Arial" w:cs="Arial" w:eastAsia="Arial"/>
                <w:b w:val="0"/>
                <w:sz w:val="18"/>
                <w:rtl w:val="0"/>
              </w:rPr>
              <w:t>‎KYC‎</w:t>
            </w:r>
            <w:r>
              <w:rPr>
                <w:rFonts w:ascii="Arial" w:hAnsi="Arial" w:cs="Arial" w:eastAsia="Arial"/>
                <w:b w:val="0"/>
                <w:sz w:val="18"/>
                <w:rtl/>
              </w:rPr>
              <w:t xml:space="preserve"> و فرایند، انضباط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موبایل، </w:t>
            </w:r>
            <w:r>
              <w:rPr>
                <w:rFonts w:ascii="Arial" w:hAnsi="Arial" w:cs="Arial" w:eastAsia="Arial"/>
                <w:b w:val="0"/>
                <w:sz w:val="18"/>
                <w:rtl w:val="0"/>
              </w:rPr>
              <w:t>‎Maps‎</w:t>
            </w:r>
            <w:r>
              <w:rPr>
                <w:rFonts w:ascii="Arial" w:hAnsi="Arial" w:cs="Arial" w:eastAsia="Arial"/>
                <w:b w:val="0"/>
                <w:sz w:val="18"/>
                <w:rtl/>
              </w:rPr>
              <w:t xml:space="preserve">، داشبورد پذیرنده، ابزار </w:t>
            </w:r>
            <w:r>
              <w:rPr>
                <w:rFonts w:ascii="Arial" w:hAnsi="Arial" w:cs="Arial" w:eastAsia="Arial"/>
                <w:b w:val="0"/>
                <w:sz w:val="18"/>
                <w:rtl w:val="0"/>
              </w:rPr>
              <w:t>‎KYC‎</w:t>
            </w:r>
            <w:r>
              <w:rPr>
                <w:rFonts w:ascii="Arial" w:hAnsi="Arial" w:cs="Arial" w:eastAsia="Arial"/>
                <w:b w:val="0"/>
                <w:sz w:val="18"/>
                <w:rtl/>
              </w:rPr>
              <w:t xml:space="preserve">، </w:t>
            </w:r>
            <w:r>
              <w:rPr>
                <w:rFonts w:ascii="Arial" w:hAnsi="Arial" w:cs="Arial" w:eastAsia="Arial"/>
                <w:b w:val="0"/>
                <w:sz w:val="18"/>
                <w:rtl w:val="0"/>
              </w:rPr>
              <w:t>‎Excel‎</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تعداد قرارداد می‌تواند پذیرنده بی‌کیفیت بسازد؛ کار میدانی، رفت‌وآمد و وابستگی </w:t>
            </w:r>
            <w:r>
              <w:rPr>
                <w:rFonts w:ascii="Arial" w:hAnsi="Arial" w:cs="Arial" w:eastAsia="Arial"/>
                <w:b w:val="0"/>
                <w:sz w:val="18"/>
                <w:rtl w:val="0"/>
              </w:rPr>
              <w:t>‎activation‎</w:t>
            </w:r>
            <w:r>
              <w:rPr>
                <w:rFonts w:ascii="Arial" w:hAnsi="Arial" w:cs="Arial" w:eastAsia="Arial"/>
                <w:b w:val="0"/>
                <w:sz w:val="18"/>
                <w:rtl/>
              </w:rPr>
              <w:t xml:space="preserve"> به محصول و تسویه فرساینده است.</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نقشه‌برداری بازار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مراجعه و </w:t>
      </w:r>
      <w:r>
        <w:rPr>
          <w:rFonts w:ascii="Arial" w:hAnsi="Arial" w:cs="Arial" w:eastAsia="Arial"/>
          <w:b w:val="0"/>
          <w:sz w:val="22"/>
          <w:rtl w:val="0"/>
        </w:rPr>
        <w:t>‎pitch‎</w:t>
      </w:r>
      <w:r>
        <w:rPr>
          <w:rFonts w:ascii="Arial" w:hAnsi="Arial" w:cs="Arial" w:eastAsia="Arial"/>
          <w:b w:val="0"/>
          <w:sz w:val="22"/>
          <w:rtl/>
        </w:rPr>
        <w:t xml:space="preserve">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پذیرنده فعال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‎activation rate‎</w:t>
      </w:r>
      <w:r>
        <w:rPr>
          <w:rFonts w:ascii="Arial" w:hAnsi="Arial" w:cs="Arial" w:eastAsia="Arial"/>
          <w:b w:val="0"/>
          <w:sz w:val="22"/>
          <w:rtl/>
        </w:rPr>
        <w:t xml:space="preserve"> بهتر ولی زمان تا اولین تراکنش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نقشه منطقه/دسته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20"/>
        <w:gridCol w:w="981"/>
        <w:gridCol w:w="3469"/>
        <w:gridCol w:w="347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98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46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4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میدانی</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‎Field Sales‎</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«فروش میدانی» این اشتراک مشخصاً با تمرکز بر توسعه رابطه و فرصت تجاری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فروش میدانی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فروش سازمانی</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‎B2B Sales‎</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«فروش سازمانی» این اشتراک مشخصاً با تمرکز بر توسعه رابطه و فرصت تجاری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فروش سازمانی عمدتاً مالک «</w:t>
            </w:r>
            <w:r>
              <w:rPr>
                <w:rFonts w:ascii="Arial" w:hAnsi="Arial" w:cs="Arial" w:eastAsia="Arial"/>
                <w:b w:val="0"/>
                <w:sz w:val="18"/>
                <w:rtl w:val="0"/>
              </w:rPr>
              <w:t>‎pipeline‎</w:t>
            </w:r>
            <w:r>
              <w:rPr>
                <w:rFonts w:ascii="Arial" w:hAnsi="Arial" w:cs="Arial" w:eastAsia="Arial"/>
                <w:b w:val="0"/>
                <w:sz w:val="18"/>
                <w:rtl/>
              </w:rPr>
              <w:t>، مذاکره و قرارداد/درآمد»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حساب</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‎Account Management‎</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«مدیریت حساب» این اشتراک مشخصاً با تمرکز بر حفظ و توسعه رابطه پس از فروش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مدیریت حساب عمدتاً مالک «برنامه حساب، تمدید/توسعه و سلامت رابطه»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مشارکت‌ها</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‎Partnerships‎</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«مشارکت‌ها» این اشتراک مشخصاً با تمرکز بر ساخت فرصت رشد از بازار یا شریک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مشارکت‌ها عمدتاً مالک «</w:t>
            </w:r>
            <w:r>
              <w:rPr>
                <w:rFonts w:ascii="Arial" w:hAnsi="Arial" w:cs="Arial" w:eastAsia="Arial"/>
                <w:b w:val="0"/>
                <w:sz w:val="18"/>
                <w:rtl w:val="0"/>
              </w:rPr>
              <w:t>‎business case‎</w:t>
            </w:r>
            <w:r>
              <w:rPr>
                <w:rFonts w:ascii="Arial" w:hAnsi="Arial" w:cs="Arial" w:eastAsia="Arial"/>
                <w:b w:val="0"/>
                <w:sz w:val="18"/>
                <w:rtl/>
              </w:rPr>
              <w:t>، مدل همکاری و پایلوت»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بازارگاه</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‎Marketplace Operations‎</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فروش میدانی، توسعه شبکه و کیفیت فعال‌سازی و هماهنگی با پذیرنده، تیم منطقه، عملیات، محصول و تسویه تکیه دارند؛ در «عملیات بازارگاه»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است؛ عملیات بازارگاه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بازاریابی تجاری</w:t>
            </w:r>
          </w:p>
        </w:tc>
        <w:tc>
          <w:tcPr>
            <w:tcW w:type="dxa" w:w="9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‎Trade Marketing‎</w:t>
            </w:r>
          </w:p>
        </w:tc>
        <w:tc>
          <w:tcPr>
            <w:tcW w:type="dxa" w:w="346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فروش میدانی، توسعه شبکه و کیفیت فعال‌سازی و هماهنگی با پذیرنده، تیم منطقه، عملیات، محصول و تسویه تکیه دارند؛ در «بازاریابی تجاری» این اشتراک مشخصاً با تمرکز بر ساخت تقاضا، جایگاه یا پوشش بازار دیده می‌شود.</w:t>
            </w:r>
          </w:p>
        </w:tc>
        <w:tc>
          <w:tcPr>
            <w:tcW w:type="dxa" w:w="34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توسعه بازار و جذب پذیرنده مالک «نقشه منطقه، </w:t>
            </w:r>
            <w:r>
              <w:rPr>
                <w:rFonts w:ascii="Arial" w:hAnsi="Arial" w:cs="Arial" w:eastAsia="Arial"/>
                <w:b w:val="0"/>
                <w:sz w:val="18"/>
                <w:rtl w:val="0"/>
              </w:rPr>
              <w:t>‎pipeline‎</w:t>
            </w:r>
            <w:r>
              <w:rPr>
                <w:rFonts w:ascii="Arial" w:hAnsi="Arial" w:cs="Arial" w:eastAsia="Arial"/>
                <w:b w:val="0"/>
                <w:sz w:val="18"/>
                <w:rtl/>
              </w:rPr>
              <w:t xml:space="preserve"> پذیرنده، قرارداد/</w:t>
            </w:r>
            <w:r>
              <w:rPr>
                <w:rFonts w:ascii="Arial" w:hAnsi="Arial" w:cs="Arial" w:eastAsia="Arial"/>
                <w:b w:val="0"/>
                <w:sz w:val="18"/>
                <w:rtl w:val="0"/>
              </w:rPr>
              <w:t>‎KYC‎</w:t>
            </w:r>
            <w:r>
              <w:rPr>
                <w:rFonts w:ascii="Arial" w:hAnsi="Arial" w:cs="Arial" w:eastAsia="Arial"/>
                <w:b w:val="0"/>
                <w:sz w:val="18"/>
                <w:rtl/>
              </w:rPr>
              <w:t xml:space="preserve"> و گزارش </w:t>
            </w:r>
            <w:r>
              <w:rPr>
                <w:rFonts w:ascii="Arial" w:hAnsi="Arial" w:cs="Arial" w:eastAsia="Arial"/>
                <w:b w:val="0"/>
                <w:sz w:val="18"/>
                <w:rtl w:val="0"/>
              </w:rPr>
              <w:t>‎activation‎</w:t>
            </w:r>
            <w:r>
              <w:rPr>
                <w:rFonts w:ascii="Arial" w:hAnsi="Arial" w:cs="Arial" w:eastAsia="Arial"/>
                <w:b w:val="0"/>
                <w:sz w:val="18"/>
                <w:rtl/>
              </w:rPr>
              <w:t xml:space="preserve">» است؛ بازاریابی تجاری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Market Development / Merchant Acquisition</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‎verified_readable_broader_proxy‎</w:t>
            </w:r>
            <w:r>
              <w:rPr>
                <w:rFonts w:ascii="Arial" w:hAnsi="Arial" w:cs="Arial" w:eastAsia="Arial"/>
                <w:b w:val="0"/>
                <w:sz w:val="18"/>
                <w:rtl/>
              </w:rPr>
              <w:t xml:space="preserve">؛ </w:t>
            </w:r>
            <w:r>
              <w:rPr>
                <w:rFonts w:ascii="Arial" w:hAnsi="Arial" w:cs="Arial" w:eastAsia="Arial"/>
                <w:b w:val="0"/>
                <w:sz w:val="18"/>
                <w:rtl w:val="0"/>
              </w:rPr>
              <w:t>‎No stable merchant-acquisition landing page was verified in IranTalent‎</w:t>
            </w:r>
            <w:r>
              <w:rPr>
                <w:rFonts w:ascii="Arial" w:hAnsi="Arial" w:cs="Arial" w:eastAsia="Arial"/>
                <w:b w:val="0"/>
                <w:sz w:val="18"/>
                <w:rtl/>
              </w:rPr>
              <w:t xml:space="preserve">; </w:t>
            </w:r>
            <w:r>
              <w:rPr>
                <w:rFonts w:ascii="Arial" w:hAnsi="Arial" w:cs="Arial" w:eastAsia="Arial"/>
                <w:b w:val="0"/>
                <w:sz w:val="18"/>
                <w:rtl w:val="0"/>
              </w:rPr>
              <w:t>‎business-development-manager is a broader proxy. Screen for field acquisition‎</w:t>
            </w:r>
            <w:r>
              <w:rPr>
                <w:rFonts w:ascii="Arial" w:hAnsi="Arial" w:cs="Arial" w:eastAsia="Arial"/>
                <w:b w:val="0"/>
                <w:sz w:val="18"/>
                <w:rtl/>
              </w:rPr>
              <w:t xml:space="preserve">, </w:t>
            </w:r>
            <w:r>
              <w:rPr>
                <w:rFonts w:ascii="Arial" w:hAnsi="Arial" w:cs="Arial" w:eastAsia="Arial"/>
                <w:b w:val="0"/>
                <w:sz w:val="18"/>
                <w:rtl w:val="0"/>
              </w:rPr>
              <w:t>‎channel/merchant onboarding‎</w:t>
            </w:r>
            <w:r>
              <w:rPr>
                <w:rFonts w:ascii="Arial" w:hAnsi="Arial" w:cs="Arial" w:eastAsia="Arial"/>
                <w:b w:val="0"/>
                <w:sz w:val="18"/>
                <w:rtl/>
              </w:rPr>
              <w:t xml:space="preserve">, </w:t>
            </w:r>
            <w:r>
              <w:rPr>
                <w:rFonts w:ascii="Arial" w:hAnsi="Arial" w:cs="Arial" w:eastAsia="Arial"/>
                <w:b w:val="0"/>
                <w:sz w:val="18"/>
                <w:rtl w:val="0"/>
              </w:rPr>
              <w:t>‎territory ownership‎</w:t>
            </w:r>
            <w:r>
              <w:rPr>
                <w:rFonts w:ascii="Arial" w:hAnsi="Arial" w:cs="Arial" w:eastAsia="Arial"/>
                <w:b w:val="0"/>
                <w:sz w:val="18"/>
                <w:rtl/>
              </w:rPr>
              <w:t xml:space="preserve">, </w:t>
            </w:r>
            <w:r>
              <w:rPr>
                <w:rFonts w:ascii="Arial" w:hAnsi="Arial" w:cs="Arial" w:eastAsia="Arial"/>
                <w:b w:val="0"/>
                <w:sz w:val="18"/>
                <w:rtl w:val="0"/>
              </w:rPr>
              <w:t>‎and activation KPIs.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41-3091.00‎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13-1161.00‎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Market Development / Merchant Acquisition</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‎No stable merchant-acquisition landing page was verified in IranTalent‎</w:t>
            </w:r>
            <w:r>
              <w:rPr>
                <w:rFonts w:ascii="Arial" w:hAnsi="Arial" w:cs="Arial" w:eastAsia="Arial"/>
                <w:b w:val="0"/>
                <w:sz w:val="18"/>
                <w:rtl/>
              </w:rPr>
              <w:t xml:space="preserve">; </w:t>
            </w:r>
            <w:r>
              <w:rPr>
                <w:rFonts w:ascii="Arial" w:hAnsi="Arial" w:cs="Arial" w:eastAsia="Arial"/>
                <w:b w:val="0"/>
                <w:sz w:val="18"/>
                <w:rtl w:val="0"/>
              </w:rPr>
              <w:t>‎business-development-manager is a broader proxy. Screen for field acquisition‎</w:t>
            </w:r>
            <w:r>
              <w:rPr>
                <w:rFonts w:ascii="Arial" w:hAnsi="Arial" w:cs="Arial" w:eastAsia="Arial"/>
                <w:b w:val="0"/>
                <w:sz w:val="18"/>
                <w:rtl/>
              </w:rPr>
              <w:t xml:space="preserve">, </w:t>
            </w:r>
            <w:r>
              <w:rPr>
                <w:rFonts w:ascii="Arial" w:hAnsi="Arial" w:cs="Arial" w:eastAsia="Arial"/>
                <w:b w:val="0"/>
                <w:sz w:val="18"/>
                <w:rtl w:val="0"/>
              </w:rPr>
              <w:t>‎channel/merchant onboarding‎</w:t>
            </w:r>
            <w:r>
              <w:rPr>
                <w:rFonts w:ascii="Arial" w:hAnsi="Arial" w:cs="Arial" w:eastAsia="Arial"/>
                <w:b w:val="0"/>
                <w:sz w:val="18"/>
                <w:rtl/>
              </w:rPr>
              <w:t xml:space="preserve">, </w:t>
            </w:r>
            <w:r>
              <w:rPr>
                <w:rFonts w:ascii="Arial" w:hAnsi="Arial" w:cs="Arial" w:eastAsia="Arial"/>
                <w:b w:val="0"/>
                <w:sz w:val="18"/>
                <w:rtl w:val="0"/>
              </w:rPr>
              <w:t>‎territory ownership‎</w:t>
            </w:r>
            <w:r>
              <w:rPr>
                <w:rFonts w:ascii="Arial" w:hAnsi="Arial" w:cs="Arial" w:eastAsia="Arial"/>
                <w:b w:val="0"/>
                <w:sz w:val="18"/>
                <w:rtl/>
              </w:rPr>
              <w:t xml:space="preserve">, </w:t>
            </w:r>
            <w:r>
              <w:rPr>
                <w:rFonts w:ascii="Arial" w:hAnsi="Arial" w:cs="Arial" w:eastAsia="Arial"/>
                <w:b w:val="0"/>
                <w:sz w:val="18"/>
                <w:rtl w:val="0"/>
              </w:rPr>
              <w:t>‎and activation KPIs.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توسعه بازار و جذب پذیرنده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business-development-manager"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41-3091.00" TargetMode="External"/><Relationship Id="rId24" Type="http://schemas.openxmlformats.org/officeDocument/2006/relationships/hyperlink" Target="https://www.onetonline.org/link/summary/13-1161.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Merchant%20Acquisition%20Market%20Development&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توسعه بازار و جذب پذیرنده | Market Development / Merchant Acquisition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