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بازاریاب عملکردی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Performance Marketer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به‌طور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Search Marketing Strategists‎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می‌شود؛ عنوان آماری مستقلی ندارد.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بودجه </w:t>
      </w:r>
      <w:r>
        <w:rPr>
          <w:rFonts w:ascii="Arial" w:hAnsi="Arial" w:cs="Arial" w:eastAsia="Arial"/>
          <w:b w:val="0"/>
          <w:sz w:val="22"/>
          <w:rtl w:val="0"/>
        </w:rPr>
        <w:t>‎paid media‎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testing‎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‎bidding‎</w:t>
      </w:r>
      <w:r>
        <w:rPr>
          <w:rFonts w:ascii="Arial" w:hAnsi="Arial" w:cs="Arial" w:eastAsia="Arial"/>
          <w:b w:val="0"/>
          <w:sz w:val="22"/>
          <w:rtl/>
        </w:rPr>
        <w:t xml:space="preserve"> و تحلیل </w:t>
      </w:r>
      <w:r>
        <w:rPr>
          <w:rFonts w:ascii="Arial" w:hAnsi="Arial" w:cs="Arial" w:eastAsia="Arial"/>
          <w:b w:val="0"/>
          <w:sz w:val="22"/>
          <w:rtl w:val="0"/>
        </w:rPr>
        <w:t>‎conversion‎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‎CAC/ROAS/LTV‎</w:t>
      </w:r>
      <w:r>
        <w:rPr>
          <w:rFonts w:ascii="Arial" w:hAnsi="Arial" w:cs="Arial" w:eastAsia="Arial"/>
          <w:b w:val="0"/>
          <w:sz w:val="22"/>
          <w:rtl/>
        </w:rPr>
        <w:t xml:space="preserve"> قابل‌قبول مدیریت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بودجه رسانه پولی و جذب قابل‌اندازه‌گیری را بر پایه هزینه و بازده بهینه می‌کند؛ </w:t>
      </w:r>
      <w:r>
        <w:rPr>
          <w:rFonts w:ascii="Arial" w:hAnsi="Arial" w:cs="Arial" w:eastAsia="Arial"/>
          <w:b w:val="0"/>
          <w:sz w:val="22"/>
          <w:rtl w:val="0"/>
        </w:rPr>
        <w:t>‎Growth‎</w:t>
      </w:r>
      <w:r>
        <w:rPr>
          <w:rFonts w:ascii="Arial" w:hAnsi="Arial" w:cs="Arial" w:eastAsia="Arial"/>
          <w:b w:val="0"/>
          <w:sz w:val="22"/>
          <w:rtl/>
        </w:rPr>
        <w:t xml:space="preserve"> کل قیف و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 ارگانیک دامنه‌های متفاوت‌اند.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افزایش جذب سودآور زیر محدودیت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‎privacy‎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‎inventory‎</w:t>
      </w:r>
      <w:r>
        <w:rPr>
          <w:rFonts w:ascii="Arial" w:hAnsi="Arial" w:cs="Arial" w:eastAsia="Arial"/>
          <w:b w:val="0"/>
          <w:sz w:val="22"/>
          <w:rtl/>
        </w:rPr>
        <w:t xml:space="preserve"> و نوسان پلتفرم بدون </w:t>
      </w:r>
      <w:r>
        <w:rPr>
          <w:rFonts w:ascii="Arial" w:hAnsi="Arial" w:cs="Arial" w:eastAsia="Arial"/>
          <w:b w:val="0"/>
          <w:sz w:val="22"/>
          <w:rtl w:val="0"/>
        </w:rPr>
        <w:t>‎optimize‎</w:t>
      </w:r>
      <w:r>
        <w:rPr>
          <w:rFonts w:ascii="Arial" w:hAnsi="Arial" w:cs="Arial" w:eastAsia="Arial"/>
          <w:b w:val="0"/>
          <w:sz w:val="22"/>
          <w:rtl/>
        </w:rPr>
        <w:t xml:space="preserve">کردن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اشتباه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‎campaign setup‎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‎naming/UTM‎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‎pixel 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‎pacing‎</w:t>
      </w:r>
      <w:r>
        <w:rPr>
          <w:rFonts w:ascii="Arial" w:hAnsi="Arial" w:cs="Arial" w:eastAsia="Arial"/>
          <w:b w:val="0"/>
          <w:sz w:val="22"/>
          <w:rtl/>
        </w:rPr>
        <w:t xml:space="preserve"> و گزارش را انجام و </w:t>
      </w:r>
      <w:r>
        <w:rPr>
          <w:rFonts w:ascii="Arial" w:hAnsi="Arial" w:cs="Arial" w:eastAsia="Arial"/>
          <w:b w:val="0"/>
          <w:sz w:val="22"/>
          <w:rtl w:val="0"/>
        </w:rPr>
        <w:t>‎anomaly‎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‎policy issue‎</w:t>
      </w:r>
      <w:r>
        <w:rPr>
          <w:rFonts w:ascii="Arial" w:hAnsi="Arial" w:cs="Arial" w:eastAsia="Arial"/>
          <w:b w:val="0"/>
          <w:sz w:val="22"/>
          <w:rtl/>
        </w:rPr>
        <w:t xml:space="preserve"> را سریع </w:t>
      </w:r>
      <w:r>
        <w:rPr>
          <w:rFonts w:ascii="Arial" w:hAnsi="Arial" w:cs="Arial" w:eastAsia="Arial"/>
          <w:b w:val="0"/>
          <w:sz w:val="22"/>
          <w:rtl w:val="0"/>
        </w:rPr>
        <w:t>‎escalates‎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‎budget portfolio‎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‎marginal return‎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‎incrementality‎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‎agency‎</w:t>
      </w:r>
      <w:r>
        <w:rPr>
          <w:rFonts w:ascii="Arial" w:hAnsi="Arial" w:cs="Arial" w:eastAsia="Arial"/>
          <w:b w:val="0"/>
          <w:sz w:val="22"/>
          <w:rtl/>
        </w:rPr>
        <w:t xml:space="preserve"> و اتصال </w:t>
      </w:r>
      <w:r>
        <w:rPr>
          <w:rFonts w:ascii="Arial" w:hAnsi="Arial" w:cs="Arial" w:eastAsia="Arial"/>
          <w:b w:val="0"/>
          <w:sz w:val="22"/>
          <w:rtl w:val="0"/>
        </w:rPr>
        <w:t>‎CAC‎</w:t>
      </w:r>
      <w:r>
        <w:rPr>
          <w:rFonts w:ascii="Arial" w:hAnsi="Arial" w:cs="Arial" w:eastAsia="Arial"/>
          <w:b w:val="0"/>
          <w:sz w:val="22"/>
          <w:rtl/>
        </w:rPr>
        <w:t xml:space="preserve"> به </w:t>
      </w:r>
      <w:r>
        <w:rPr>
          <w:rFonts w:ascii="Arial" w:hAnsi="Arial" w:cs="Arial" w:eastAsia="Arial"/>
          <w:b w:val="0"/>
          <w:sz w:val="22"/>
          <w:rtl w:val="0"/>
        </w:rPr>
        <w:t>‎LTV/payback‎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افزایش جذب سودآور زیر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نوسان پلتفرم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اشتباه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6"/>
        <w:gridCol w:w="1466"/>
        <w:gridCol w:w="1374"/>
        <w:gridCol w:w="949"/>
        <w:gridCol w:w="1648"/>
        <w:gridCol w:w="720"/>
        <w:gridCol w:w="2467"/>
      </w:tblGrid>
      <w:tr>
        <w:trPr>
          <w:cantSplit w:val="true"/>
          <w:tblHeader w:val="true"/>
        </w:trPr>
        <w:tc>
          <w:tcPr>
            <w:tcW w:type="dxa" w:w="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‎Google/Meta/local Ads‎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خرید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‎budget/pacing‎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 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‎scenario 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 log.‎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‎GA4/GTM/pixels‎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‎budget/pacing‎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 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‎scenario 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 log.‎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‎Attribution/reporting‎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‎CAC/ROAS/LTV‎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‎budget/pacing‎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 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‎scenario 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 log.‎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‎Spreadsheet/SQL‎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‎budget/pacing‎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 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‎scenario 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 log.‎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‎CRO/experimentation‎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بهبود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«کمپین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‎channel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‎budget/pacing‎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 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‎scenario 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 log.‎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کمپین شبیه‌سازی‌شده با </w:t>
      </w:r>
      <w:r>
        <w:rPr>
          <w:rFonts w:ascii="Arial" w:hAnsi="Arial" w:cs="Arial" w:eastAsia="Arial"/>
          <w:b w:val="0"/>
          <w:sz w:val="22"/>
          <w:rtl w:val="0"/>
        </w:rPr>
        <w:t>‎business target‎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‎channel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‎budget/pacing‎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 spec‎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matrix‎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‎scenario attribution‎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‎optimization log.‎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تجارت الکترونیکی، اپ، فین‌تک، آژانس، سلامت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محدودیت پرداخت/دسترسی پلتفرم خارجی در ایران بخشی از طراحی عملیات است.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‎Google/Meta Ads‎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social/search‎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‎CAC/ROAS/LTV‎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‎budget/pacing‎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‎creative testing‎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دو موقعیت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‎Performance Marketing‎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نتایج قابل‌مشاهده ثبت شد؛ یکی شرح کامل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‎Paid Ads‎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‎Retargeting‎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‎LTV‎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داشت.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‎Google/Meta Ads‎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social/search‎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‎GA4/GTM‎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‎CAC/ROAS/LTV‎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‎budget/pacing‎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‎creative testing.‎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تجارت الکترونیکی، اپ، فین‌تک، آژانس، سلامت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محدودیت پرداخت/دسترسی پلتفرم خارجی در ایران بخشی از طراحی عملیات است.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بازاریاب عملکردی،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 Performance-specific‎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میانه ۷۶٬۹۵۰ دلار خانواده </w:t>
      </w:r>
      <w:r>
        <w:rPr>
          <w:rFonts w:ascii="Arial" w:hAnsi="Arial" w:cs="Arial" w:eastAsia="Arial"/>
          <w:b w:val="0"/>
          <w:sz w:val="22"/>
          <w:rtl w:val="0"/>
        </w:rPr>
        <w:t>‎Marketing Specialists‎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را نمی‌توان نرخ این نقش دانست.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97"/>
        <w:gridCol w:w="2006"/>
        <w:gridCol w:w="1433"/>
        <w:gridCol w:w="1146"/>
        <w:gridCol w:w="1624"/>
        <w:gridCol w:w="954"/>
      </w:tblGrid>
      <w:tr>
        <w:trPr>
          <w:cantSplit w:val="true"/>
          <w:tblHeader w:val="true"/>
        </w:trPr>
        <w:tc>
          <w:tcPr>
            <w:tcW w:type="dxa" w:w="21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0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‎Google/Meta/local Ads‎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خرید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‎GA4/GTM/pixels‎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‎Attribution/reporting‎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‎CAC/ROAS/LTV‎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‎Spreadsheet/SQL‎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‎CRO/experimentation‎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بهبود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testing system‎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‎hook/offer‎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26"/>
        <w:gridCol w:w="772"/>
        <w:gridCol w:w="863"/>
        <w:gridCol w:w="1999"/>
        <w:gridCol w:w="2500"/>
      </w:tblGrid>
      <w:tr>
        <w:trPr>
          <w:cantSplit w:val="true"/>
          <w:tblHeader w:val="true"/>
        </w:trPr>
        <w:tc>
          <w:tcPr>
            <w:tcW w:type="dxa" w:w="3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بازاریاب عملکردی را از مسئله تا نتیجه و یادگیری توضیح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‎Google/Meta/local Ads‎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‎GA4/GTM/pixels‎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45"/>
        <w:gridCol w:w="1642"/>
        <w:gridCol w:w="3113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6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31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product/retention levers‎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‎owned/organic‎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پوشش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ترافیک ارگانیک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اعتبار روش را عمیق‌تر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‎LTV‎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 owned messaging‎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operations‎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Buyer‎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اجرا را محور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نتیجه و سیستم سنجش را.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720"/>
        <w:gridCol w:w="984"/>
        <w:gridCol w:w="914"/>
        <w:gridCol w:w="1476"/>
        <w:gridCol w:w="15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Buyer‎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06"/>
        <w:gridCol w:w="2496"/>
        <w:gridCol w:w="1375"/>
        <w:gridCol w:w="236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 رشد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Buyer‎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کمپین شبیه‌سازی‌شده با </w:t>
      </w:r>
      <w:r>
        <w:rPr>
          <w:rFonts w:ascii="Arial" w:hAnsi="Arial" w:cs="Arial" w:eastAsia="Arial"/>
          <w:b w:val="0"/>
          <w:sz w:val="22"/>
          <w:rtl w:val="0"/>
        </w:rPr>
        <w:t>‎business target‎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‎channel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‎budget/pacing‎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 spec‎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matrix‎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‎scenario attribution‎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‎optimization log.‎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بازاریاب عملکردی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‎Performance Marketer‎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بودجه </w:t>
      </w:r>
      <w:r>
        <w:rPr>
          <w:rFonts w:ascii="Arial" w:hAnsi="Arial" w:cs="Arial" w:eastAsia="Arial"/>
          <w:b w:val="0"/>
          <w:sz w:val="22"/>
          <w:rtl w:val="0"/>
        </w:rPr>
        <w:t>‎paid media‎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‎creative testing‎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‎bidding‎</w:t>
      </w:r>
      <w:r>
        <w:rPr>
          <w:rFonts w:ascii="Arial" w:hAnsi="Arial" w:cs="Arial" w:eastAsia="Arial"/>
          <w:b w:val="0"/>
          <w:sz w:val="22"/>
          <w:rtl/>
        </w:rPr>
        <w:t xml:space="preserve"> و تحلیل </w:t>
      </w:r>
      <w:r>
        <w:rPr>
          <w:rFonts w:ascii="Arial" w:hAnsi="Arial" w:cs="Arial" w:eastAsia="Arial"/>
          <w:b w:val="0"/>
          <w:sz w:val="22"/>
          <w:rtl w:val="0"/>
        </w:rPr>
        <w:t>‎conversion‎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‎CAC/ROAS/LTV‎</w:t>
      </w:r>
      <w:r>
        <w:rPr>
          <w:rFonts w:ascii="Arial" w:hAnsi="Arial" w:cs="Arial" w:eastAsia="Arial"/>
          <w:b w:val="0"/>
          <w:sz w:val="22"/>
          <w:rtl/>
        </w:rPr>
        <w:t xml:space="preserve"> قابل‌قبول مدیریت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افزایش جذب سودآور زیر محدودیت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‎privacy‎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‎inventory‎</w:t>
      </w:r>
      <w:r>
        <w:rPr>
          <w:rFonts w:ascii="Arial" w:hAnsi="Arial" w:cs="Arial" w:eastAsia="Arial"/>
          <w:b w:val="0"/>
          <w:sz w:val="22"/>
          <w:rtl/>
        </w:rPr>
        <w:t xml:space="preserve"> و نوسان پلتفرم بدون </w:t>
      </w:r>
      <w:r>
        <w:rPr>
          <w:rFonts w:ascii="Arial" w:hAnsi="Arial" w:cs="Arial" w:eastAsia="Arial"/>
          <w:b w:val="0"/>
          <w:sz w:val="22"/>
          <w:rtl w:val="0"/>
        </w:rPr>
        <w:t>‎optimize‎</w:t>
      </w:r>
      <w:r>
        <w:rPr>
          <w:rFonts w:ascii="Arial" w:hAnsi="Arial" w:cs="Arial" w:eastAsia="Arial"/>
          <w:b w:val="0"/>
          <w:sz w:val="22"/>
          <w:rtl/>
        </w:rPr>
        <w:t xml:space="preserve">کردن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اشتباه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‎Google/Meta/local Ads‎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‎GA4/GTM/pixels‎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‎Attribution/reporting‎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‎Google/Meta/local Ads‎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‎GA4/GTM/pixels‎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‎Attribution/reporting‎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‎Spreadsheet/SQL‎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‎CRO/experimentation‎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‎Creative testing system.‎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بازاریاب عملکردی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50"/>
        <w:gridCol w:w="1586"/>
        <w:gridCol w:w="1978"/>
        <w:gridCol w:w="382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5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19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 رشد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Marketer‎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‎Growth product/retention levers‎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‎owned/organic‎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پوشش می‌دهد.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سئو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ترافیک ارگانیک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اعتبار روش را عمیق‌تر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‎LTV‎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 owned messaging‎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operations‎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Buyer‎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Buyer‎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اجرا را محور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نتیجه و سیستم سنجش را.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Search Marketing Strategists‎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Ads Help‎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بازاریاب عملکردی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jobs/performance-marketing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1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performance-marketing-jobs" TargetMode="External"/><Relationship Id="rId25" Type="http://schemas.openxmlformats.org/officeDocument/2006/relationships/hyperlink" Target="https://support.google.com/google-ads/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بازاریاب عملکردی | Performance Marketer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