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418 Project 2 Final Report</w:t>
      </w:r>
    </w:p>
    <w:p>
      <w:pPr>
        <w:pStyle w:val="Heading2"/>
      </w:pPr>
      <w:r>
        <w:t>1. Introduction</w:t>
      </w:r>
    </w:p>
    <w:p>
      <w:r>
        <w:t>This project implements a live video-surveillance-over-IP pipeline for CS 418. The system captures webcam video on the host machine, encodes it with FFmpeg, publishes the stream in MPEG-DASH live profile format, and serves it over HTTP for browser playback. On the client side, playback is handled through a custom HTML5 Media Source Extensions (MSE) interface with JavaScript controls rather than browser plug-ins, so the viewing experience remains consistent with the technical boundaries of the assignment while still providing practical live monitoring functionality.</w:t>
      </w:r>
    </w:p>
    <w:p>
      <w:r>
        <w:t>The resulting system brings together the main components expected from an IP-based surveillance assignment: FFmpeg-based real-time capture and encoding, server-side generation of DASH media, HTTP delivery, H.264 video, optional AAC audio, browser-side playback controls, and measured latency observations for 2, 4, and 6 second segment durations. The baseline player is further extended with optional capabilities such as audio playback, adaptive DASH delivery, motion notifications, and thumbnail-assisted seeking.</w:t>
      </w:r>
    </w:p>
    <w:p>
      <w:pPr>
        <w:pStyle w:val="Heading2"/>
      </w:pPr>
      <w:r>
        <w:t>2. System Architecture</w:t>
      </w:r>
    </w:p>
    <w:p>
      <w:r>
        <w:t xml:space="preserve">The overall architecture follows a clear four-part separation. First, FFmpeg performs live capture and packaging. It reads camera input from the local machine, encodes the video stream, and generates a live DASH manifest together with segment files. Second, NGINX serves the generated manifest, media segments, and the built frontend assets over HTTP. Third, a TypeScript/Node orchestration layer manages configuration, process startup, generated runtime files, and supporting services such as latency logging and optional feature flows. Fourth, the browser player consumes the DASH manifest and renders playback through </w:t>
      </w:r>
      <w:r>
        <w:rPr>
          <w:rFonts w:ascii="Courier New" w:hAnsi="Courier New"/>
        </w:rPr>
        <w:t>dash.js</w:t>
      </w:r>
      <w:r>
        <w:t>, while the surrounding UI and interaction logic remain custom to this project.</w:t>
      </w:r>
    </w:p>
    <w:p>
      <w:r>
        <w:t>This separation is beneficial for both implementation and demonstration. The capture path remains faithful to the assignment's FFmpeg requirement, the HTTP delivery path stays simple and inspectable through NGINX, and the browser layer remains focused on user interaction rather than transport details. The architecture document also identifies optional subsystems for audio, motion detection, and thumbnail generation, which were integrated without changing the fundamental live-streaming pipeline.</w:t>
      </w:r>
    </w:p>
    <w:p>
      <w:r>
        <w:t>[INSERT SCREENSHOT 1 HERE: Player screen with thumbnail hover visible]</w:t>
      </w:r>
    </w:p>
    <w:p>
      <w:r>
        <w:t>Figure 1 should show the main player interface together with the visible thumbnail preview on the seek bar. This single screenshot is sufficient to illustrate both the control surface and the thumbnail-assisted seeking behavior.</w:t>
      </w:r>
    </w:p>
    <w:p>
      <w:pPr>
        <w:pStyle w:val="Heading2"/>
      </w:pPr>
      <w:r>
        <w:t>3. Important Implementation Details</w:t>
      </w:r>
    </w:p>
    <w:p>
      <w:r>
        <w:t>Several implementation details are especially important for the usability of a live surveillance player. The first is the control surface. The assignment requires pause, seek, and go-live behavior, and the demo runbook further treats screenshot capture as a primary demonstration step. This means the player is not merely a passive stream viewer; it must support short-term time shifting within the live window and allow the user to return quickly to the live edge after reviewing older content.</w:t>
      </w:r>
    </w:p>
    <w:p>
      <w:r>
        <w:t>The second important detail is the handling of optional monitoring-oriented features. Thumbnail-assisted seeking improves navigation by providing visual context while moving through buffered content. Motion notification support adds an event-oriented cue that is useful in surveillance scenarios, where the user may need to notice changes without continuously scrutinizing the video frame. The current report asset set includes deterministic captures of both states to document the implemented interface behavior.</w:t>
      </w:r>
    </w:p>
    <w:p>
      <w:r>
        <w:t>[INSERT SCREENSHOT 2 HERE: Motion notification visible in the player]</w:t>
      </w:r>
    </w:p>
    <w:p>
      <w:r>
        <w:t>Figure 2 should show the motion notification state while the player is open. This image is intended to document how motion detection is presented to the user at the interface level.</w:t>
      </w:r>
    </w:p>
    <w:p>
      <w:r>
        <w:t>Screenshot capture is also notable because it connects the user-facing player with a persistent output artifact. According to the demo runbook, the Screenshot button must create an image file on disk during the live demonstration flow. This requirement strengthens the project from a surveillance perspective because it provides a simple mechanism for preserving a frame of interest without interrupting the rest of the viewing session.</w:t>
      </w:r>
    </w:p>
    <w:p>
      <w:pPr>
        <w:pStyle w:val="Heading2"/>
      </w:pPr>
      <w:r>
        <w:t>4. How To Run</w:t>
      </w:r>
    </w:p>
    <w:p>
      <w:r>
        <w:t xml:space="preserve">The intended execution flow uses the repository's </w:t>
      </w:r>
      <w:r>
        <w:rPr>
          <w:rFonts w:ascii="Courier New" w:hAnsi="Courier New"/>
        </w:rPr>
        <w:t>make</w:t>
      </w:r>
      <w:r>
        <w:t xml:space="preserve"> interface rather than ad hoc lower-level commands. The preparation sequence begins with </w:t>
      </w:r>
      <w:r>
        <w:rPr>
          <w:rFonts w:ascii="Courier New" w:hAnsi="Courier New"/>
        </w:rPr>
        <w:t>make validate-env</w:t>
      </w:r>
      <w:r>
        <w:t xml:space="preserve">, which checks whether FFmpeg and NGINX are available and whether the local environment is suitable for the pipeline. Next, </w:t>
      </w:r>
      <w:r>
        <w:rPr>
          <w:rFonts w:ascii="Courier New" w:hAnsi="Courier New"/>
        </w:rPr>
        <w:t>make list-devices</w:t>
      </w:r>
      <w:r>
        <w:t xml:space="preserve"> is used to confirm the correct camera and, if needed, microphone identifiers for the host machine.</w:t>
      </w:r>
    </w:p>
    <w:p>
      <w:r>
        <w:t xml:space="preserve">After device confirmation, </w:t>
      </w:r>
      <w:r>
        <w:rPr>
          <w:rFonts w:ascii="Courier New" w:hAnsi="Courier New"/>
        </w:rPr>
        <w:t>make demo-check</w:t>
      </w:r>
      <w:r>
        <w:t xml:space="preserve"> acts as a preflight readiness step before launching the full stack. The baseline live demo path then uses </w:t>
      </w:r>
      <w:r>
        <w:rPr>
          <w:rFonts w:ascii="Courier New" w:hAnsi="Courier New"/>
        </w:rPr>
        <w:t>make startup-all</w:t>
      </w:r>
      <w:r>
        <w:t>, which prepares runtime artifacts and starts the services needed for the standard video-only flow. Once the command prints the player URL, the browser can be opened and playback can be verified before the formal demonstration begins.</w:t>
      </w:r>
    </w:p>
    <w:p>
      <w:r>
        <w:t xml:space="preserve">During execution, the operator should confirm the same behaviors listed in </w:t>
      </w:r>
      <w:r>
        <w:rPr>
          <w:rFonts w:ascii="Courier New" w:hAnsi="Courier New"/>
        </w:rPr>
        <w:t>docs/demo-runbook.md</w:t>
      </w:r>
      <w:r>
        <w:t xml:space="preserve">: the browser requests the expected baseline manifest, new DASH segments continue to appear under the output directory, pause freezes playback, seek moves backward within the live window, Go Live returns to the live edge, and the Screenshot button creates an image artifact. If audio is intended for extra credit, </w:t>
      </w:r>
      <w:r>
        <w:rPr>
          <w:rFonts w:ascii="Courier New" w:hAnsi="Courier New"/>
        </w:rPr>
        <w:t>make startup-audio</w:t>
      </w:r>
      <w:r>
        <w:t xml:space="preserve"> is the documented optional path after the audio capture device has been configured.</w:t>
      </w:r>
    </w:p>
    <w:p>
      <w:r>
        <w:t xml:space="preserve">The source repository is available at </w:t>
      </w:r>
      <w:r>
        <w:rPr>
          <w:rFonts w:ascii="Courier New" w:hAnsi="Courier New"/>
        </w:rPr>
        <w:t>https://github.com/atakankaratass/video-surveillance-over-ip.git</w:t>
      </w:r>
      <w:r>
        <w:t xml:space="preserve">. Development and verification were carried out with a layered testing workflow. At the local level, the project was checked through </w:t>
      </w:r>
      <w:r>
        <w:rPr>
          <w:rFonts w:ascii="Courier New" w:hAnsi="Courier New"/>
        </w:rPr>
        <w:t>make lint</w:t>
      </w:r>
      <w:r>
        <w:t xml:space="preserve">, </w:t>
      </w:r>
      <w:r>
        <w:rPr>
          <w:rFonts w:ascii="Courier New" w:hAnsi="Courier New"/>
        </w:rPr>
        <w:t>make typecheck</w:t>
      </w:r>
      <w:r>
        <w:t xml:space="preserve">, </w:t>
      </w:r>
      <w:r>
        <w:rPr>
          <w:rFonts w:ascii="Courier New" w:hAnsi="Courier New"/>
        </w:rPr>
        <w:t>make test</w:t>
      </w:r>
      <w:r>
        <w:t xml:space="preserve">, </w:t>
      </w:r>
      <w:r>
        <w:rPr>
          <w:rFonts w:ascii="Courier New" w:hAnsi="Courier New"/>
        </w:rPr>
        <w:t>make build</w:t>
      </w:r>
      <w:r>
        <w:t xml:space="preserve">, and </w:t>
      </w:r>
      <w:r>
        <w:rPr>
          <w:rFonts w:ascii="Courier New" w:hAnsi="Courier New"/>
        </w:rPr>
        <w:t>make e2e</w:t>
      </w:r>
      <w:r>
        <w:t xml:space="preserve">. The Git hooks reinforce this process: the pre-commit hook runs </w:t>
      </w:r>
      <w:r>
        <w:rPr>
          <w:rFonts w:ascii="Courier New" w:hAnsi="Courier New"/>
        </w:rPr>
        <w:t>lint-staged</w:t>
      </w:r>
      <w:r>
        <w:t xml:space="preserve"> to format and lint staged files, while the pre-push hook runs </w:t>
      </w:r>
      <w:r>
        <w:rPr>
          <w:rFonts w:ascii="Courier New" w:hAnsi="Courier New"/>
        </w:rPr>
        <w:t>npm run validate:push</w:t>
      </w:r>
      <w:r>
        <w:t xml:space="preserve">, which executes the full local validation chain before a push is allowed. On GitHub, the same implementation is checked again through three workflows: </w:t>
      </w:r>
      <w:r>
        <w:rPr>
          <w:rFonts w:ascii="Courier New" w:hAnsi="Courier New"/>
        </w:rPr>
        <w:t>CI</w:t>
      </w:r>
      <w:r>
        <w:t xml:space="preserve"> for lint, typecheck, tests, and build; </w:t>
      </w:r>
      <w:r>
        <w:rPr>
          <w:rFonts w:ascii="Courier New" w:hAnsi="Courier New"/>
        </w:rPr>
        <w:t>E2E</w:t>
      </w:r>
      <w:r>
        <w:t xml:space="preserve"> for Playwright browser tests; and </w:t>
      </w:r>
      <w:r>
        <w:rPr>
          <w:rFonts w:ascii="Courier New" w:hAnsi="Courier New"/>
        </w:rPr>
        <w:t>Security</w:t>
      </w:r>
      <w:r>
        <w:t xml:space="preserve"> for dependency-audit checks. This structure makes the testing process incremental, repeatable, and visible both locally and on the remote repository.</w:t>
      </w:r>
    </w:p>
    <w:p>
      <w:pPr>
        <w:pStyle w:val="Heading2"/>
      </w:pPr>
      <w:r>
        <w:t>5. Results and Latency Analysis</w:t>
      </w:r>
    </w:p>
    <w:p>
      <w:r>
        <w:t>Latency was measured for 2, 4, and 6 second segment durations. Although the current table contains one sample for each setting, it still provides a concrete basis for comparing the tested configurations rather than discussing latency only at a qualitative level.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Segment Duration (s)</w:t>
            </w:r>
          </w:p>
        </w:tc>
        <w:tc>
          <w:tcPr>
            <w:tcW w:type="dxa" w:w="1728"/>
          </w:tcPr>
          <w:p>
            <w:r>
              <w:t>Samples</w:t>
            </w:r>
          </w:p>
        </w:tc>
        <w:tc>
          <w:tcPr>
            <w:tcW w:type="dxa" w:w="1728"/>
          </w:tcPr>
          <w:p>
            <w:r>
              <w:t>Average Latency (ms)</w:t>
            </w:r>
          </w:p>
        </w:tc>
        <w:tc>
          <w:tcPr>
            <w:tcW w:type="dxa" w:w="1728"/>
          </w:tcPr>
          <w:p>
            <w:r>
              <w:t>Minimum (ms)</w:t>
            </w:r>
          </w:p>
        </w:tc>
        <w:tc>
          <w:tcPr>
            <w:tcW w:type="dxa" w:w="1728"/>
          </w:tcPr>
          <w:p>
            <w:r>
              <w:t>Maximum (ms)</w:t>
            </w:r>
          </w:p>
        </w:tc>
      </w:tr>
      <w:tr>
        <w:tc>
          <w:tcPr>
            <w:tcW w:type="dxa" w:w="1728"/>
          </w:tcPr>
          <w:p>
            <w:r>
              <w:t>2</w:t>
            </w:r>
          </w:p>
        </w:tc>
        <w:tc>
          <w:tcPr>
            <w:tcW w:type="dxa" w:w="1728"/>
          </w:tcPr>
          <w:p>
            <w:r>
              <w:t>1</w:t>
            </w:r>
          </w:p>
        </w:tc>
        <w:tc>
          <w:tcPr>
            <w:tcW w:type="dxa" w:w="1728"/>
          </w:tcPr>
          <w:p>
            <w:r>
              <w:t>1946</w:t>
            </w:r>
          </w:p>
        </w:tc>
        <w:tc>
          <w:tcPr>
            <w:tcW w:type="dxa" w:w="1728"/>
          </w:tcPr>
          <w:p>
            <w:r>
              <w:t>1946</w:t>
            </w:r>
          </w:p>
        </w:tc>
        <w:tc>
          <w:tcPr>
            <w:tcW w:type="dxa" w:w="1728"/>
          </w:tcPr>
          <w:p>
            <w:r>
              <w:t>1946</w:t>
            </w:r>
          </w:p>
        </w:tc>
      </w:tr>
      <w:tr>
        <w:tc>
          <w:tcPr>
            <w:tcW w:type="dxa" w:w="1728"/>
          </w:tcPr>
          <w:p>
            <w:r>
              <w:t>4</w:t>
            </w:r>
          </w:p>
        </w:tc>
        <w:tc>
          <w:tcPr>
            <w:tcW w:type="dxa" w:w="1728"/>
          </w:tcPr>
          <w:p>
            <w:r>
              <w:t>1</w:t>
            </w:r>
          </w:p>
        </w:tc>
        <w:tc>
          <w:tcPr>
            <w:tcW w:type="dxa" w:w="1728"/>
          </w:tcPr>
          <w:p>
            <w:r>
              <w:t>2236</w:t>
            </w:r>
          </w:p>
        </w:tc>
        <w:tc>
          <w:tcPr>
            <w:tcW w:type="dxa" w:w="1728"/>
          </w:tcPr>
          <w:p>
            <w:r>
              <w:t>2236</w:t>
            </w:r>
          </w:p>
        </w:tc>
        <w:tc>
          <w:tcPr>
            <w:tcW w:type="dxa" w:w="1728"/>
          </w:tcPr>
          <w:p>
            <w:r>
              <w:t>2236</w:t>
            </w:r>
          </w:p>
        </w:tc>
      </w:tr>
      <w:tr>
        <w:tc>
          <w:tcPr>
            <w:tcW w:type="dxa" w:w="1728"/>
          </w:tcPr>
          <w:p>
            <w:r>
              <w:t>6</w:t>
            </w:r>
          </w:p>
        </w:tc>
        <w:tc>
          <w:tcPr>
            <w:tcW w:type="dxa" w:w="1728"/>
          </w:tcPr>
          <w:p>
            <w:r>
              <w:t>1</w:t>
            </w:r>
          </w:p>
        </w:tc>
        <w:tc>
          <w:tcPr>
            <w:tcW w:type="dxa" w:w="1728"/>
          </w:tcPr>
          <w:p>
            <w:r>
              <w:t>1714</w:t>
            </w:r>
          </w:p>
        </w:tc>
        <w:tc>
          <w:tcPr>
            <w:tcW w:type="dxa" w:w="1728"/>
          </w:tcPr>
          <w:p>
            <w:r>
              <w:t>1714</w:t>
            </w:r>
          </w:p>
        </w:tc>
        <w:tc>
          <w:tcPr>
            <w:tcW w:type="dxa" w:w="1728"/>
          </w:tcPr>
          <w:p>
            <w:r>
              <w:t>1714</w:t>
            </w:r>
          </w:p>
        </w:tc>
      </w:tr>
    </w:tbl>
    <w:p>
      <w:r>
        <w:t>In the measured run used for this report, the 6 second configuration produced the lowest observed latency, followed by 2 seconds, while 4 seconds produced the highest value of the three. Because the sample count is limited, these values should be interpreted as observations from a specific experimental run rather than as a universal ranking that will hold on every machine. Even with that limitation, the comparison remains useful because it shows how the selected segment durations behaved in practice on the implemented system.</w:t>
      </w:r>
    </w:p>
    <w:p>
      <w:r>
        <w:t xml:space="preserve">The latency discussion is complemented by validation records packaged with the report. The local summary records successful </w:t>
      </w:r>
      <w:r>
        <w:rPr>
          <w:rFonts w:ascii="Courier New" w:hAnsi="Courier New"/>
        </w:rPr>
        <w:t>lint</w:t>
      </w:r>
      <w:r>
        <w:t xml:space="preserve">, </w:t>
      </w:r>
      <w:r>
        <w:rPr>
          <w:rFonts w:ascii="Courier New" w:hAnsi="Courier New"/>
        </w:rPr>
        <w:t>typecheck</w:t>
      </w:r>
      <w:r>
        <w:t xml:space="preserve">, </w:t>
      </w:r>
      <w:r>
        <w:rPr>
          <w:rFonts w:ascii="Courier New" w:hAnsi="Courier New"/>
        </w:rPr>
        <w:t>test</w:t>
      </w:r>
      <w:r>
        <w:t xml:space="preserve">, </w:t>
      </w:r>
      <w:r>
        <w:rPr>
          <w:rFonts w:ascii="Courier New" w:hAnsi="Courier New"/>
        </w:rPr>
        <w:t>build</w:t>
      </w:r>
      <w:r>
        <w:t xml:space="preserve">, and </w:t>
      </w:r>
      <w:r>
        <w:rPr>
          <w:rFonts w:ascii="Courier New" w:hAnsi="Courier New"/>
        </w:rPr>
        <w:t>e2e</w:t>
      </w:r>
      <w:r>
        <w:t xml:space="preserve"> runs for the referenced implementation state, and the GitHub Actions summary records successful CI, E2E, and Security workflows for the same shipped revision.</w:t>
      </w:r>
    </w:p>
    <w:p>
      <w:pPr>
        <w:pStyle w:val="Heading2"/>
      </w:pPr>
      <w:r>
        <w:t>6. Optional Features</w:t>
      </w:r>
    </w:p>
    <w:p>
      <w:r>
        <w:t>The project also extends beyond the baseline streaming path in four meaningful ways. First, it supports optional audio capture and playback, using AAC when audio is enabled. Second, it includes an adaptive DASH path, which extends the streaming design beyond a single fixed representation. Third, it implements motion detection with viewer notifications, giving the player an event-driven monitoring capability that fits the surveillance context. Fourth, it supports thumbnail-assisted seeking to make time-shift navigation more efficient.</w:t>
      </w:r>
    </w:p>
    <w:p>
      <w:r>
        <w:t>These optional features are not merely cosmetic additions. Audio broadens the realism of the live monitoring scenario, adaptive DASH addresses playback resilience across changing conditions, motion detection improves operator awareness, and thumbnail previews make live DVR interaction easier to use in practice. Together, they show that the overall design could be extended without replacing the central FFmpeg-to-DASH pipeline.</w:t>
      </w:r>
    </w:p>
    <w:p>
      <w:pPr>
        <w:pStyle w:val="Heading2"/>
      </w:pPr>
      <w:r>
        <w:t>7. SDK and Open-Source Disclosure</w:t>
      </w:r>
    </w:p>
    <w:p>
      <w:r>
        <w:t xml:space="preserve">This project uses a focused set of third-party libraries and open-source tools, each with a clear role in the implementation or validation process. </w:t>
      </w:r>
      <w:r>
        <w:rPr>
          <w:rFonts w:ascii="Courier New" w:hAnsi="Courier New"/>
        </w:rPr>
        <w:t>dash.js</w:t>
      </w:r>
      <w:r>
        <w:t xml:space="preserve"> serves as the browser-side DASH playback engine underneath the custom HTML5 player UI. Playwright is used for end-to-end browser verification, while Vitest covers unit and integration testing. Vite provides the frontend build pipeline, TypeScript provides typed implementation support, ESLint and Prettier enforce code quality and formatting, and Husky together with </w:t>
      </w:r>
      <w:r>
        <w:rPr>
          <w:rFonts w:ascii="Courier New" w:hAnsi="Courier New"/>
        </w:rPr>
        <w:t>lint-staged</w:t>
      </w:r>
      <w:r>
        <w:t xml:space="preserve"> supports local quality-gate automation.</w:t>
      </w:r>
    </w:p>
    <w:p>
      <w:r>
        <w:t>At the system level, FFmpeg is the essential media-processing dependency for live capture, encoding, and DASH output generation, and NGINX serves the generated media and frontend assets over HTTP. This distribution of responsibilities keeps the media-processing, delivery, playback, and validation concerns separated in a straightforward way, while the orchestration logic and player behavior remain specific to the project itself.</w:t>
      </w:r>
    </w:p>
    <w:p>
      <w:pPr>
        <w:pStyle w:val="Heading2"/>
      </w:pPr>
      <w:r>
        <w:t>8. Conclusion</w:t>
      </w:r>
    </w:p>
    <w:p>
      <w:r>
        <w:t>Taken as a whole, the project forms a complete browser-based surveillance-over-IP pipeline built around FFmpeg capture, DASH delivery over HTTP, and a custom MSE-oriented playback interface. The implemented control surface, latency measurements, and optional extensions give the system substantially more depth than a minimal live-streaming prototype.</w:t>
      </w:r>
    </w:p>
    <w:p>
      <w:r>
        <w:t xml:space="preserve">The optional audio path, adaptive streaming support, motion notification flow, and thumbnail-assisted seeking make the final system more useful as a monitoring application and more interesting as a technical implementation. One deliberate limitation remains in the report evidence set: real </w:t>
      </w:r>
      <w:r>
        <w:rPr>
          <w:rFonts w:ascii="Courier New" w:hAnsi="Courier New"/>
        </w:rPr>
        <w:t>live-playback.png</w:t>
      </w:r>
      <w:r>
        <w:t xml:space="preserve"> and </w:t>
      </w:r>
      <w:r>
        <w:rPr>
          <w:rFonts w:ascii="Courier New" w:hAnsi="Courier New"/>
        </w:rPr>
        <w:t>screenshot-output.png</w:t>
      </w:r>
      <w:r>
        <w:t xml:space="preserve"> artifacts should be captured only from an actual verified live run. Leaving those images for a genuine live session is preferable to presenting fabricated visuals in their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