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6A6D1B" w:rsidRDefault="00F40D70" w:rsidP="00F40D70">
      <w:pPr>
        <w:ind w:firstLine="708"/>
        <w:jc w:val="center"/>
        <w:rPr>
          <w:rFonts w:asciiTheme="majorHAnsi" w:hAnsiTheme="majorHAnsi"/>
          <w:b/>
          <w:sz w:val="32"/>
        </w:rPr>
      </w:pPr>
      <w:r w:rsidRPr="006A6D1B">
        <w:rPr>
          <w:rFonts w:asciiTheme="majorHAnsi" w:hAnsiTheme="majorHAnsi"/>
          <w:b/>
          <w:sz w:val="32"/>
        </w:rPr>
        <w:t>UMDE ADAY MÜHENDİS FAALİYET ARA RAPORU</w:t>
      </w:r>
      <w:r w:rsidR="00042201" w:rsidRPr="006A6D1B">
        <w:rPr>
          <w:rFonts w:asciiTheme="majorHAnsi" w:hAnsiTheme="majorHAnsi"/>
          <w:b/>
          <w:sz w:val="32"/>
        </w:rPr>
        <w:t xml:space="preserve"> (F-PG-1)</w:t>
      </w:r>
    </w:p>
    <w:tbl>
      <w:tblPr>
        <w:tblStyle w:val="TableGrid"/>
        <w:tblW w:w="0" w:type="auto"/>
        <w:tblLook w:val="04A0" w:firstRow="1" w:lastRow="0" w:firstColumn="1" w:lastColumn="0" w:noHBand="0" w:noVBand="1"/>
      </w:tblPr>
      <w:tblGrid>
        <w:gridCol w:w="3936"/>
        <w:gridCol w:w="5276"/>
      </w:tblGrid>
      <w:tr w:rsidR="00F40D70" w:rsidRPr="006A6D1B" w14:paraId="63758F25" w14:textId="77777777" w:rsidTr="00BF1756">
        <w:tc>
          <w:tcPr>
            <w:tcW w:w="3936" w:type="dxa"/>
          </w:tcPr>
          <w:p w14:paraId="63088B0C" w14:textId="77777777" w:rsidR="00F40D70" w:rsidRPr="006A6D1B" w:rsidRDefault="00F40D70" w:rsidP="002B45C6">
            <w:pPr>
              <w:spacing w:after="0"/>
              <w:jc w:val="both"/>
              <w:rPr>
                <w:rFonts w:asciiTheme="majorHAnsi" w:hAnsiTheme="majorHAnsi"/>
                <w:b/>
                <w:sz w:val="24"/>
              </w:rPr>
            </w:pPr>
            <w:r w:rsidRPr="006A6D1B">
              <w:rPr>
                <w:rFonts w:asciiTheme="majorHAnsi" w:hAnsiTheme="majorHAnsi"/>
                <w:b/>
                <w:sz w:val="24"/>
              </w:rPr>
              <w:t>Aday Mühendisin Adı ve Soyadı</w:t>
            </w:r>
          </w:p>
        </w:tc>
        <w:tc>
          <w:tcPr>
            <w:tcW w:w="5276" w:type="dxa"/>
          </w:tcPr>
          <w:p w14:paraId="59CB3322" w14:textId="1AAF76BC" w:rsidR="00F40D70" w:rsidRPr="006A6D1B" w:rsidRDefault="00012F6C" w:rsidP="002B45C6">
            <w:pPr>
              <w:spacing w:after="0" w:line="360" w:lineRule="auto"/>
              <w:rPr>
                <w:rFonts w:asciiTheme="majorHAnsi" w:hAnsiTheme="majorHAnsi"/>
                <w:b/>
                <w:sz w:val="24"/>
              </w:rPr>
            </w:pPr>
            <w:r w:rsidRPr="006A6D1B">
              <w:rPr>
                <w:rFonts w:asciiTheme="majorHAnsi" w:hAnsiTheme="majorHAnsi"/>
                <w:b/>
                <w:sz w:val="24"/>
              </w:rPr>
              <w:t>ATAKAN ÇALIŞKAN</w:t>
            </w:r>
          </w:p>
        </w:tc>
      </w:tr>
      <w:tr w:rsidR="00F40D70" w:rsidRPr="006A6D1B" w14:paraId="03E1ACF9" w14:textId="77777777" w:rsidTr="00BF1756">
        <w:tc>
          <w:tcPr>
            <w:tcW w:w="3936" w:type="dxa"/>
          </w:tcPr>
          <w:p w14:paraId="30015895" w14:textId="77777777" w:rsidR="00F40D70" w:rsidRPr="006A6D1B" w:rsidRDefault="00F40D70" w:rsidP="002B45C6">
            <w:pPr>
              <w:spacing w:after="0"/>
              <w:jc w:val="both"/>
              <w:rPr>
                <w:rFonts w:asciiTheme="majorHAnsi" w:hAnsiTheme="majorHAnsi"/>
                <w:b/>
                <w:sz w:val="24"/>
              </w:rPr>
            </w:pPr>
            <w:r w:rsidRPr="006A6D1B">
              <w:rPr>
                <w:rFonts w:asciiTheme="majorHAnsi" w:hAnsiTheme="majorHAnsi"/>
                <w:b/>
                <w:sz w:val="24"/>
              </w:rPr>
              <w:t>UMDE İşletmesinin Adı</w:t>
            </w:r>
          </w:p>
        </w:tc>
        <w:tc>
          <w:tcPr>
            <w:tcW w:w="5276" w:type="dxa"/>
          </w:tcPr>
          <w:p w14:paraId="3EB01350" w14:textId="6C2EA59A" w:rsidR="00F40D70" w:rsidRPr="006A6D1B" w:rsidRDefault="00012F6C" w:rsidP="002B45C6">
            <w:pPr>
              <w:spacing w:after="0" w:line="360" w:lineRule="auto"/>
              <w:rPr>
                <w:rFonts w:asciiTheme="majorHAnsi" w:hAnsiTheme="majorHAnsi"/>
                <w:b/>
                <w:sz w:val="24"/>
              </w:rPr>
            </w:pPr>
            <w:r w:rsidRPr="006A6D1B">
              <w:rPr>
                <w:rFonts w:asciiTheme="majorHAnsi" w:hAnsiTheme="majorHAnsi"/>
                <w:b/>
                <w:sz w:val="24"/>
              </w:rPr>
              <w:t>TEI-TUSAŞ MOTOR SANAYİİ A.Ş.</w:t>
            </w:r>
          </w:p>
        </w:tc>
      </w:tr>
      <w:tr w:rsidR="00F40D70" w:rsidRPr="006A6D1B" w14:paraId="35F89B4A" w14:textId="77777777" w:rsidTr="00BF1756">
        <w:tc>
          <w:tcPr>
            <w:tcW w:w="3936" w:type="dxa"/>
          </w:tcPr>
          <w:p w14:paraId="03B575D2" w14:textId="77777777" w:rsidR="00F40D70" w:rsidRPr="006A6D1B" w:rsidRDefault="00F40D70" w:rsidP="002B45C6">
            <w:pPr>
              <w:spacing w:after="0"/>
              <w:jc w:val="both"/>
              <w:rPr>
                <w:rFonts w:asciiTheme="majorHAnsi" w:hAnsiTheme="majorHAnsi"/>
                <w:b/>
                <w:sz w:val="24"/>
              </w:rPr>
            </w:pPr>
            <w:r w:rsidRPr="006A6D1B">
              <w:rPr>
                <w:rFonts w:asciiTheme="majorHAnsi" w:hAnsiTheme="majorHAnsi"/>
                <w:b/>
                <w:sz w:val="24"/>
              </w:rPr>
              <w:t>Çalıştığı Bölüm ve Alan</w:t>
            </w:r>
          </w:p>
        </w:tc>
        <w:tc>
          <w:tcPr>
            <w:tcW w:w="5276" w:type="dxa"/>
          </w:tcPr>
          <w:p w14:paraId="6375B6F4" w14:textId="497849DD" w:rsidR="00F40D70" w:rsidRPr="006A6D1B" w:rsidRDefault="00012F6C" w:rsidP="002B45C6">
            <w:pPr>
              <w:spacing w:after="0" w:line="360" w:lineRule="auto"/>
              <w:rPr>
                <w:rFonts w:asciiTheme="majorHAnsi" w:hAnsiTheme="majorHAnsi"/>
                <w:b/>
                <w:sz w:val="24"/>
              </w:rPr>
            </w:pPr>
            <w:r w:rsidRPr="006A6D1B">
              <w:rPr>
                <w:rFonts w:asciiTheme="majorHAnsi" w:hAnsiTheme="majorHAnsi"/>
                <w:b/>
                <w:sz w:val="24"/>
              </w:rPr>
              <w:t>Yazılım Müdürlüğü – Gömülü Yazılım Geliştirme</w:t>
            </w:r>
          </w:p>
        </w:tc>
      </w:tr>
      <w:tr w:rsidR="00F40D70" w:rsidRPr="006A6D1B" w14:paraId="0BDBA0E6" w14:textId="77777777" w:rsidTr="00BF1756">
        <w:tc>
          <w:tcPr>
            <w:tcW w:w="3936" w:type="dxa"/>
          </w:tcPr>
          <w:p w14:paraId="1D6A27E6" w14:textId="77777777" w:rsidR="00F40D70" w:rsidRPr="006A6D1B" w:rsidRDefault="00F40D70" w:rsidP="002B45C6">
            <w:pPr>
              <w:spacing w:after="0"/>
              <w:jc w:val="both"/>
              <w:rPr>
                <w:rFonts w:asciiTheme="majorHAnsi" w:hAnsiTheme="majorHAnsi"/>
                <w:b/>
                <w:sz w:val="24"/>
              </w:rPr>
            </w:pPr>
            <w:r w:rsidRPr="006A6D1B">
              <w:rPr>
                <w:rFonts w:asciiTheme="majorHAnsi" w:hAnsiTheme="majorHAnsi"/>
                <w:b/>
                <w:sz w:val="24"/>
              </w:rPr>
              <w:t>Teslim Edilen Ara Rapor No</w:t>
            </w:r>
          </w:p>
        </w:tc>
        <w:tc>
          <w:tcPr>
            <w:tcW w:w="5276" w:type="dxa"/>
          </w:tcPr>
          <w:p w14:paraId="0C895702" w14:textId="0A94B9C8" w:rsidR="00F40D70" w:rsidRPr="006A6D1B" w:rsidRDefault="006A6D1B" w:rsidP="002B45C6">
            <w:pPr>
              <w:spacing w:after="0" w:line="360" w:lineRule="auto"/>
              <w:rPr>
                <w:rFonts w:asciiTheme="majorHAnsi" w:hAnsiTheme="majorHAnsi"/>
                <w:b/>
                <w:sz w:val="24"/>
              </w:rPr>
            </w:pPr>
            <w:r w:rsidRPr="006A6D1B">
              <w:rPr>
                <w:rFonts w:asciiTheme="majorHAnsi" w:hAnsiTheme="majorHAnsi"/>
                <w:b/>
                <w:sz w:val="24"/>
              </w:rPr>
              <w:t>4</w:t>
            </w:r>
          </w:p>
        </w:tc>
      </w:tr>
      <w:tr w:rsidR="00F40D70" w:rsidRPr="006A6D1B" w14:paraId="793BB306" w14:textId="77777777" w:rsidTr="00BF1756">
        <w:tc>
          <w:tcPr>
            <w:tcW w:w="3936" w:type="dxa"/>
          </w:tcPr>
          <w:p w14:paraId="03B861BD" w14:textId="77777777" w:rsidR="00F40D70" w:rsidRPr="006A6D1B" w:rsidRDefault="00F40D70" w:rsidP="002B45C6">
            <w:pPr>
              <w:spacing w:after="0"/>
              <w:jc w:val="both"/>
              <w:rPr>
                <w:rFonts w:asciiTheme="majorHAnsi" w:hAnsiTheme="majorHAnsi"/>
                <w:b/>
                <w:sz w:val="24"/>
              </w:rPr>
            </w:pPr>
            <w:r w:rsidRPr="006A6D1B">
              <w:rPr>
                <w:rFonts w:asciiTheme="majorHAnsi" w:hAnsiTheme="majorHAnsi"/>
                <w:b/>
                <w:sz w:val="24"/>
              </w:rPr>
              <w:t>Faaliyet Zaman Aralığı</w:t>
            </w:r>
          </w:p>
        </w:tc>
        <w:tc>
          <w:tcPr>
            <w:tcW w:w="5276" w:type="dxa"/>
          </w:tcPr>
          <w:p w14:paraId="538A3C64" w14:textId="64F15637" w:rsidR="00F40D70" w:rsidRPr="006A6D1B" w:rsidRDefault="006A6D1B" w:rsidP="002B45C6">
            <w:pPr>
              <w:spacing w:after="0" w:line="360" w:lineRule="auto"/>
              <w:rPr>
                <w:rFonts w:asciiTheme="majorHAnsi" w:hAnsiTheme="majorHAnsi"/>
                <w:b/>
                <w:sz w:val="24"/>
              </w:rPr>
            </w:pPr>
            <w:r w:rsidRPr="006A6D1B">
              <w:rPr>
                <w:rFonts w:asciiTheme="majorHAnsi" w:hAnsiTheme="majorHAnsi"/>
                <w:b/>
                <w:sz w:val="24"/>
              </w:rPr>
              <w:t>09</w:t>
            </w:r>
            <w:r w:rsidR="00F40D70" w:rsidRPr="006A6D1B">
              <w:rPr>
                <w:rFonts w:asciiTheme="majorHAnsi" w:hAnsiTheme="majorHAnsi"/>
                <w:b/>
                <w:sz w:val="24"/>
              </w:rPr>
              <w:t xml:space="preserve"> / </w:t>
            </w:r>
            <w:r w:rsidRPr="006A6D1B">
              <w:rPr>
                <w:rFonts w:asciiTheme="majorHAnsi" w:hAnsiTheme="majorHAnsi"/>
                <w:b/>
                <w:sz w:val="24"/>
              </w:rPr>
              <w:t>03</w:t>
            </w:r>
            <w:r w:rsidR="00F40D70" w:rsidRPr="006A6D1B">
              <w:rPr>
                <w:rFonts w:asciiTheme="majorHAnsi" w:hAnsiTheme="majorHAnsi"/>
                <w:b/>
                <w:sz w:val="24"/>
              </w:rPr>
              <w:t xml:space="preserve"> /</w:t>
            </w:r>
            <w:r w:rsidRPr="006A6D1B">
              <w:rPr>
                <w:rFonts w:asciiTheme="majorHAnsi" w:hAnsiTheme="majorHAnsi"/>
                <w:b/>
                <w:sz w:val="24"/>
              </w:rPr>
              <w:t>2026</w:t>
            </w:r>
            <w:r w:rsidR="00F40D70" w:rsidRPr="006A6D1B">
              <w:rPr>
                <w:rFonts w:asciiTheme="majorHAnsi" w:hAnsiTheme="majorHAnsi"/>
                <w:b/>
                <w:sz w:val="24"/>
              </w:rPr>
              <w:t xml:space="preserve">     -    </w:t>
            </w:r>
            <w:r w:rsidRPr="006A6D1B">
              <w:rPr>
                <w:rFonts w:asciiTheme="majorHAnsi" w:hAnsiTheme="majorHAnsi"/>
                <w:b/>
                <w:sz w:val="24"/>
              </w:rPr>
              <w:t>12</w:t>
            </w:r>
            <w:r w:rsidR="00F40D70" w:rsidRPr="006A6D1B">
              <w:rPr>
                <w:rFonts w:asciiTheme="majorHAnsi" w:hAnsiTheme="majorHAnsi"/>
                <w:b/>
                <w:sz w:val="24"/>
              </w:rPr>
              <w:t xml:space="preserve"> / </w:t>
            </w:r>
            <w:r w:rsidRPr="006A6D1B">
              <w:rPr>
                <w:rFonts w:asciiTheme="majorHAnsi" w:hAnsiTheme="majorHAnsi"/>
                <w:b/>
                <w:sz w:val="24"/>
              </w:rPr>
              <w:t>03</w:t>
            </w:r>
            <w:r w:rsidR="00F40D70" w:rsidRPr="006A6D1B">
              <w:rPr>
                <w:rFonts w:asciiTheme="majorHAnsi" w:hAnsiTheme="majorHAnsi"/>
                <w:b/>
                <w:sz w:val="24"/>
              </w:rPr>
              <w:t xml:space="preserve">  /</w:t>
            </w:r>
            <w:r w:rsidRPr="006A6D1B">
              <w:rPr>
                <w:rFonts w:asciiTheme="majorHAnsi" w:hAnsiTheme="majorHAnsi"/>
                <w:b/>
                <w:sz w:val="24"/>
              </w:rPr>
              <w:t>2026</w:t>
            </w:r>
            <w:r w:rsidR="00F40D70" w:rsidRPr="006A6D1B">
              <w:rPr>
                <w:rFonts w:asciiTheme="majorHAnsi" w:hAnsiTheme="majorHAnsi"/>
                <w:b/>
                <w:sz w:val="24"/>
              </w:rPr>
              <w:t xml:space="preserve">  </w:t>
            </w:r>
          </w:p>
        </w:tc>
      </w:tr>
    </w:tbl>
    <w:p w14:paraId="024FE033" w14:textId="77777777" w:rsidR="00F40D70" w:rsidRPr="006A6D1B" w:rsidRDefault="00F40D70" w:rsidP="00F40D70">
      <w:pPr>
        <w:spacing w:before="120" w:after="240"/>
        <w:jc w:val="both"/>
        <w:rPr>
          <w:rFonts w:asciiTheme="majorHAnsi" w:hAnsiTheme="majorHAnsi"/>
          <w:b/>
        </w:rPr>
      </w:pPr>
      <w:r w:rsidRPr="006A6D1B">
        <w:rPr>
          <w:rFonts w:asciiTheme="majorHAnsi" w:hAnsiTheme="majorHAnsi"/>
          <w:b/>
        </w:rPr>
        <w:t xml:space="preserve">UMDE Aday Mühendis; </w:t>
      </w:r>
      <w:r w:rsidR="002B45C6" w:rsidRPr="006A6D1B">
        <w:rPr>
          <w:rFonts w:asciiTheme="majorHAnsi" w:hAnsiTheme="majorHAnsi"/>
          <w:b/>
        </w:rPr>
        <w:t>faaliyet ara raporunu danışman öğretim üyesi/görevlisine her hafta teslim etmek zorundadır. Akademik danışman bu rapora göre değerlendirme yapacaktır</w:t>
      </w:r>
      <w:r w:rsidRPr="006A6D1B">
        <w:rPr>
          <w:rFonts w:asciiTheme="majorHAnsi" w:hAnsiTheme="majorHAnsi"/>
          <w:b/>
        </w:rPr>
        <w:t>.</w:t>
      </w:r>
    </w:p>
    <w:tbl>
      <w:tblPr>
        <w:tblStyle w:val="TableGrid"/>
        <w:tblW w:w="0" w:type="auto"/>
        <w:tblLook w:val="04A0" w:firstRow="1" w:lastRow="0" w:firstColumn="1" w:lastColumn="0" w:noHBand="0" w:noVBand="1"/>
      </w:tblPr>
      <w:tblGrid>
        <w:gridCol w:w="9390"/>
      </w:tblGrid>
      <w:tr w:rsidR="00F40D70" w:rsidRPr="006A6D1B" w14:paraId="5E8F5BEF" w14:textId="77777777" w:rsidTr="00BF1756">
        <w:tc>
          <w:tcPr>
            <w:tcW w:w="9212" w:type="dxa"/>
          </w:tcPr>
          <w:p w14:paraId="4D58B11C" w14:textId="77777777" w:rsidR="00F40D70" w:rsidRPr="006A6D1B" w:rsidRDefault="00F40D70" w:rsidP="00BF1756">
            <w:pPr>
              <w:jc w:val="center"/>
              <w:rPr>
                <w:rFonts w:asciiTheme="majorHAnsi" w:hAnsiTheme="majorHAnsi"/>
                <w:b/>
              </w:rPr>
            </w:pPr>
            <w:r w:rsidRPr="006A6D1B">
              <w:rPr>
                <w:rFonts w:asciiTheme="majorHAnsi" w:hAnsiTheme="majorHAnsi"/>
                <w:b/>
                <w:sz w:val="24"/>
              </w:rPr>
              <w:t>FAALİYET ARA RAPORU</w:t>
            </w:r>
          </w:p>
        </w:tc>
      </w:tr>
      <w:tr w:rsidR="00F40D70" w:rsidRPr="006A6D1B" w14:paraId="11BD5A33" w14:textId="77777777" w:rsidTr="00BF1756">
        <w:tc>
          <w:tcPr>
            <w:tcW w:w="9212" w:type="dxa"/>
          </w:tcPr>
          <w:p w14:paraId="44933EBF" w14:textId="77777777" w:rsidR="006A6D1B" w:rsidRDefault="006A6D1B" w:rsidP="00BF1756">
            <w:pPr>
              <w:rPr>
                <w:rFonts w:asciiTheme="majorHAnsi" w:hAnsiTheme="majorHAnsi"/>
                <w:b/>
                <w:u w:val="single"/>
              </w:rPr>
            </w:pPr>
            <w:r w:rsidRPr="006A6D1B">
              <w:rPr>
                <w:rFonts w:asciiTheme="majorHAnsi" w:hAnsiTheme="majorHAnsi"/>
                <w:b/>
                <w:u w:val="single"/>
              </w:rPr>
              <w:t>GENEL C DİLİ ÇALIŞMALARI</w:t>
            </w:r>
          </w:p>
          <w:p w14:paraId="3CC6CBB9" w14:textId="2ABA3515" w:rsidR="00F40D70" w:rsidRPr="006A6D1B" w:rsidRDefault="006A6D1B" w:rsidP="00BF1756">
            <w:pPr>
              <w:rPr>
                <w:rFonts w:asciiTheme="majorHAnsi" w:hAnsiTheme="majorHAnsi"/>
                <w:b/>
                <w:u w:val="single"/>
              </w:rPr>
            </w:pPr>
            <w:r w:rsidRPr="006A6D1B">
              <w:rPr>
                <w:rFonts w:asciiTheme="majorHAnsi" w:hAnsiTheme="majorHAnsi"/>
                <w:bCs/>
              </w:rPr>
              <w:t>Bu hafta gömülü yazılım geliştirme sürecinde ihtiyaç duyulan temel C programlama yapıları üzerine yoğunlaşılmıştır. Yapılan çalışmalarda öncelikle değişken tanımı ve scope kavramı ele alınmış; local, global ve static değişken yapılarının bellek davranışı ve erişim sınırları değerlendirilmiştir. Özellikle local değişkenlerin fonksiyon bloğu ile sınırlı olduğu, global değişkenlerin program genelinde erişilebilirlik sağladığı ve static tanımlamaların bellek ömrünü uzattığı konuları incelenmiştir. Bunun yanında fonksiyon yapısı, parametre geçiş mantığı, geri dönüş değeri kullanımı ve kodun modüler hale getirilmesi açısından fonksiyonel parçalama yaklaşımı üzerinde durulmuştur.</w:t>
            </w:r>
          </w:p>
          <w:p w14:paraId="31824143" w14:textId="10100079" w:rsidR="00F40D70" w:rsidRDefault="006A6D1B" w:rsidP="00BF1756">
            <w:pPr>
              <w:rPr>
                <w:rFonts w:asciiTheme="majorHAnsi" w:hAnsiTheme="majorHAnsi"/>
                <w:bCs/>
              </w:rPr>
            </w:pPr>
            <w:r w:rsidRPr="006A6D1B">
              <w:rPr>
                <w:rFonts w:asciiTheme="majorHAnsi" w:hAnsiTheme="majorHAnsi"/>
                <w:bCs/>
              </w:rPr>
              <w:t xml:space="preserve">Temel veri tipleri tarafında </w:t>
            </w:r>
            <w:r w:rsidRPr="006A6D1B">
              <w:rPr>
                <w:rFonts w:asciiTheme="majorHAnsi" w:hAnsiTheme="majorHAnsi"/>
                <w:b/>
              </w:rPr>
              <w:t xml:space="preserve">int, float </w:t>
            </w:r>
            <w:r w:rsidRPr="006A6D1B">
              <w:rPr>
                <w:rFonts w:asciiTheme="majorHAnsi" w:hAnsiTheme="majorHAnsi"/>
                <w:bCs/>
              </w:rPr>
              <w:t>ve</w:t>
            </w:r>
            <w:r w:rsidRPr="006A6D1B">
              <w:rPr>
                <w:rFonts w:asciiTheme="majorHAnsi" w:hAnsiTheme="majorHAnsi"/>
                <w:b/>
              </w:rPr>
              <w:t xml:space="preserve"> char</w:t>
            </w:r>
            <w:r w:rsidRPr="006A6D1B">
              <w:rPr>
                <w:rFonts w:asciiTheme="majorHAnsi" w:hAnsiTheme="majorHAnsi"/>
                <w:bCs/>
              </w:rPr>
              <w:t xml:space="preserve"> gibi standart türlerin yanı </w:t>
            </w:r>
            <w:r w:rsidRPr="008A6113">
              <w:rPr>
                <w:rFonts w:asciiTheme="majorHAnsi" w:hAnsiTheme="majorHAnsi"/>
                <w:bCs/>
              </w:rPr>
              <w:t>sıra</w:t>
            </w:r>
            <w:r w:rsidRPr="006A6D1B">
              <w:rPr>
                <w:rFonts w:asciiTheme="majorHAnsi" w:hAnsiTheme="majorHAnsi"/>
                <w:b/>
              </w:rPr>
              <w:t xml:space="preserve"> stdint.h</w:t>
            </w:r>
            <w:r w:rsidRPr="006A6D1B">
              <w:rPr>
                <w:rFonts w:asciiTheme="majorHAnsi" w:hAnsiTheme="majorHAnsi"/>
                <w:bCs/>
              </w:rPr>
              <w:t xml:space="preserve"> kütüphanesi ile gelen </w:t>
            </w:r>
            <w:r w:rsidRPr="006A6D1B">
              <w:rPr>
                <w:rFonts w:asciiTheme="majorHAnsi" w:hAnsiTheme="majorHAnsi"/>
                <w:b/>
              </w:rPr>
              <w:t>uint8_t, uint16_t, uint32_t</w:t>
            </w:r>
            <w:r w:rsidRPr="006A6D1B">
              <w:rPr>
                <w:rFonts w:asciiTheme="majorHAnsi" w:hAnsiTheme="majorHAnsi"/>
                <w:bCs/>
              </w:rPr>
              <w:t xml:space="preserve"> ve </w:t>
            </w:r>
            <w:r w:rsidRPr="006A6D1B">
              <w:rPr>
                <w:rFonts w:asciiTheme="majorHAnsi" w:hAnsiTheme="majorHAnsi"/>
                <w:b/>
              </w:rPr>
              <w:t>int8_t</w:t>
            </w:r>
            <w:r w:rsidRPr="006A6D1B">
              <w:rPr>
                <w:rFonts w:asciiTheme="majorHAnsi" w:hAnsiTheme="majorHAnsi"/>
                <w:bCs/>
              </w:rPr>
              <w:t xml:space="preserve"> gibi sabit uzunluklu veri tipleri değerlendirilmiştir. Bu yapıların özellikle gömülü sistemlerde register genişlikleri ve veri taşınabilirliği açısından önemli olduğu görülmüştür. Kontrol yapıları kapsamında </w:t>
            </w:r>
            <w:r w:rsidRPr="006A6D1B">
              <w:rPr>
                <w:rFonts w:asciiTheme="majorHAnsi" w:hAnsiTheme="majorHAnsi"/>
                <w:b/>
              </w:rPr>
              <w:t>for</w:t>
            </w:r>
            <w:r w:rsidRPr="006A6D1B">
              <w:rPr>
                <w:rFonts w:asciiTheme="majorHAnsi" w:hAnsiTheme="majorHAnsi"/>
                <w:bCs/>
              </w:rPr>
              <w:t xml:space="preserve"> ve </w:t>
            </w:r>
            <w:r w:rsidRPr="006A6D1B">
              <w:rPr>
                <w:rFonts w:asciiTheme="majorHAnsi" w:hAnsiTheme="majorHAnsi"/>
                <w:b/>
              </w:rPr>
              <w:t>while</w:t>
            </w:r>
            <w:r w:rsidRPr="006A6D1B">
              <w:rPr>
                <w:rFonts w:asciiTheme="majorHAnsi" w:hAnsiTheme="majorHAnsi"/>
                <w:bCs/>
              </w:rPr>
              <w:t xml:space="preserve"> döngüleri, </w:t>
            </w:r>
            <w:r w:rsidRPr="006A6D1B">
              <w:rPr>
                <w:rFonts w:asciiTheme="majorHAnsi" w:hAnsiTheme="majorHAnsi"/>
                <w:b/>
              </w:rPr>
              <w:t>switch-case</w:t>
            </w:r>
            <w:r w:rsidR="00C263D5">
              <w:rPr>
                <w:rFonts w:asciiTheme="majorHAnsi" w:hAnsiTheme="majorHAnsi"/>
                <w:b/>
              </w:rPr>
              <w:t xml:space="preserve"> ve </w:t>
            </w:r>
            <w:r w:rsidRPr="006A6D1B">
              <w:rPr>
                <w:rFonts w:asciiTheme="majorHAnsi" w:hAnsiTheme="majorHAnsi"/>
                <w:b/>
              </w:rPr>
              <w:t>break</w:t>
            </w:r>
            <w:r w:rsidRPr="006A6D1B">
              <w:rPr>
                <w:rFonts w:asciiTheme="majorHAnsi" w:hAnsiTheme="majorHAnsi"/>
                <w:bCs/>
              </w:rPr>
              <w:t xml:space="preserve"> yapısı ve karar mekanizmaları tekrar edilmiştir. Ayrıca </w:t>
            </w:r>
            <w:r w:rsidRPr="006A6D1B">
              <w:rPr>
                <w:rFonts w:asciiTheme="majorHAnsi" w:hAnsiTheme="majorHAnsi"/>
                <w:b/>
              </w:rPr>
              <w:t>overflow</w:t>
            </w:r>
            <w:r w:rsidRPr="006A6D1B">
              <w:rPr>
                <w:rFonts w:asciiTheme="majorHAnsi" w:hAnsiTheme="majorHAnsi"/>
                <w:bCs/>
              </w:rPr>
              <w:t xml:space="preserve"> davranışının, özellikle sınırlı bit genişliğine sahip veri tiplerinde sayısal taşma oluşturduğu ve bunun donanım seviyesinde sonuçları etkileyebileceği gözlemlenmiştir.</w:t>
            </w:r>
          </w:p>
          <w:p w14:paraId="2B13897F" w14:textId="4A86193A" w:rsidR="006A6D1B" w:rsidRDefault="006A6D1B" w:rsidP="00BF1756">
            <w:pPr>
              <w:rPr>
                <w:rFonts w:asciiTheme="majorHAnsi" w:hAnsiTheme="majorHAnsi"/>
                <w:bCs/>
              </w:rPr>
            </w:pPr>
            <w:r w:rsidRPr="006A6D1B">
              <w:rPr>
                <w:rFonts w:asciiTheme="majorHAnsi" w:hAnsiTheme="majorHAnsi"/>
                <w:bCs/>
              </w:rPr>
              <w:t xml:space="preserve">Pointer konusu kapsamında, pointer’ın doğrudan verinin kendisini değil bellek adresini tuttuğu, </w:t>
            </w:r>
            <w:r w:rsidRPr="006A6D1B">
              <w:rPr>
                <w:rFonts w:asciiTheme="majorHAnsi" w:hAnsiTheme="majorHAnsi"/>
                <w:b/>
              </w:rPr>
              <w:t>*</w:t>
            </w:r>
            <w:r w:rsidRPr="006A6D1B">
              <w:rPr>
                <w:rFonts w:asciiTheme="majorHAnsi" w:hAnsiTheme="majorHAnsi"/>
                <w:bCs/>
              </w:rPr>
              <w:t xml:space="preserve"> ve </w:t>
            </w:r>
            <w:r w:rsidRPr="006A6D1B">
              <w:rPr>
                <w:rFonts w:asciiTheme="majorHAnsi" w:hAnsiTheme="majorHAnsi"/>
                <w:b/>
              </w:rPr>
              <w:t>&amp;</w:t>
            </w:r>
            <w:r w:rsidRPr="006A6D1B">
              <w:rPr>
                <w:rFonts w:asciiTheme="majorHAnsi" w:hAnsiTheme="majorHAnsi"/>
                <w:bCs/>
              </w:rPr>
              <w:t xml:space="preserve"> operatörleri ile adres ve içerik erişiminin sağlandığı çalışılmıştır. </w:t>
            </w:r>
            <w:r w:rsidRPr="006A6D1B">
              <w:rPr>
                <w:rFonts w:asciiTheme="majorHAnsi" w:hAnsiTheme="majorHAnsi"/>
                <w:b/>
              </w:rPr>
              <w:t>Pointer-array</w:t>
            </w:r>
            <w:r w:rsidRPr="006A6D1B">
              <w:rPr>
                <w:rFonts w:asciiTheme="majorHAnsi" w:hAnsiTheme="majorHAnsi"/>
                <w:bCs/>
              </w:rPr>
              <w:t xml:space="preserve"> ilişkisi incelenerek dizi elemanlarına pointer aritmetiği üzerinden erişim mantığı değerlendirilmiştir. Son olarak </w:t>
            </w:r>
            <w:r w:rsidRPr="006A6D1B">
              <w:rPr>
                <w:rFonts w:asciiTheme="majorHAnsi" w:hAnsiTheme="majorHAnsi"/>
                <w:b/>
              </w:rPr>
              <w:t>stack</w:t>
            </w:r>
            <w:r w:rsidRPr="006A6D1B">
              <w:rPr>
                <w:rFonts w:asciiTheme="majorHAnsi" w:hAnsiTheme="majorHAnsi"/>
                <w:bCs/>
              </w:rPr>
              <w:t xml:space="preserve"> ve </w:t>
            </w:r>
            <w:r w:rsidRPr="006A6D1B">
              <w:rPr>
                <w:rFonts w:asciiTheme="majorHAnsi" w:hAnsiTheme="majorHAnsi"/>
                <w:b/>
              </w:rPr>
              <w:t>heap</w:t>
            </w:r>
            <w:r w:rsidRPr="006A6D1B">
              <w:rPr>
                <w:rFonts w:asciiTheme="majorHAnsi" w:hAnsiTheme="majorHAnsi"/>
                <w:bCs/>
              </w:rPr>
              <w:t xml:space="preserve"> bellek alanları arasındaki fark, </w:t>
            </w:r>
            <w:r w:rsidRPr="006A6D1B">
              <w:rPr>
                <w:rFonts w:asciiTheme="majorHAnsi" w:hAnsiTheme="majorHAnsi"/>
                <w:b/>
              </w:rPr>
              <w:t>const</w:t>
            </w:r>
            <w:r w:rsidRPr="006A6D1B">
              <w:rPr>
                <w:rFonts w:asciiTheme="majorHAnsi" w:hAnsiTheme="majorHAnsi"/>
                <w:bCs/>
              </w:rPr>
              <w:t xml:space="preserve"> anahtar sözcüğünün veri güvenliği </w:t>
            </w:r>
            <w:r w:rsidRPr="006A6D1B">
              <w:rPr>
                <w:rFonts w:asciiTheme="majorHAnsi" w:hAnsiTheme="majorHAnsi"/>
                <w:bCs/>
              </w:rPr>
              <w:lastRenderedPageBreak/>
              <w:t xml:space="preserve">açısından rolü, </w:t>
            </w:r>
            <w:r w:rsidRPr="006A6D1B">
              <w:rPr>
                <w:rFonts w:asciiTheme="majorHAnsi" w:hAnsiTheme="majorHAnsi"/>
                <w:b/>
              </w:rPr>
              <w:t>volatile</w:t>
            </w:r>
            <w:r w:rsidRPr="006A6D1B">
              <w:rPr>
                <w:rFonts w:asciiTheme="majorHAnsi" w:hAnsiTheme="majorHAnsi"/>
                <w:bCs/>
              </w:rPr>
              <w:t xml:space="preserve"> kullanımının derleyici optimizasyonunu sınırlayarak donanım tarafından değişebilen verilerin doğru okunmasını sağlaması ve bit düzeyinde </w:t>
            </w:r>
            <w:r w:rsidRPr="006A6D1B">
              <w:rPr>
                <w:rFonts w:asciiTheme="majorHAnsi" w:hAnsiTheme="majorHAnsi"/>
                <w:b/>
              </w:rPr>
              <w:t>set/clear/toggle/check</w:t>
            </w:r>
            <w:r w:rsidRPr="006A6D1B">
              <w:rPr>
                <w:rFonts w:asciiTheme="majorHAnsi" w:hAnsiTheme="majorHAnsi"/>
                <w:bCs/>
              </w:rPr>
              <w:t xml:space="preserve"> işlemlerinin register kontrolündeki önemi üzerinde durulmuştur. Bu tekrar çalışmaları, kart üzerindeki çevre birimlerinin register seviyesinde kontrol edilmesi açısından doğrudan altyapı sağlamıştır.</w:t>
            </w:r>
          </w:p>
          <w:p w14:paraId="1946E6E1" w14:textId="2F9546AE" w:rsidR="006A6D1B" w:rsidRDefault="00CB19DB" w:rsidP="00BF1756">
            <w:pPr>
              <w:rPr>
                <w:rFonts w:asciiTheme="majorHAnsi" w:hAnsiTheme="majorHAnsi"/>
                <w:b/>
                <w:u w:val="single"/>
              </w:rPr>
            </w:pPr>
            <w:r w:rsidRPr="00CB19DB">
              <w:rPr>
                <w:rFonts w:asciiTheme="majorHAnsi" w:hAnsiTheme="majorHAnsi"/>
                <w:b/>
                <w:u w:val="single"/>
              </w:rPr>
              <w:t>Kod Geliştirme Aşamasına Geçiş</w:t>
            </w:r>
          </w:p>
          <w:p w14:paraId="0AE0EC49" w14:textId="42CB4311" w:rsidR="00CB19DB" w:rsidRDefault="00CB19DB" w:rsidP="00BF1756">
            <w:pPr>
              <w:rPr>
                <w:rFonts w:asciiTheme="majorHAnsi" w:hAnsiTheme="majorHAnsi"/>
                <w:bCs/>
              </w:rPr>
            </w:pPr>
            <w:r w:rsidRPr="00CB19DB">
              <w:rPr>
                <w:rFonts w:asciiTheme="majorHAnsi" w:hAnsiTheme="majorHAnsi"/>
                <w:bCs/>
              </w:rPr>
              <w:t>Bu aşamada, önceki haftalarda teorik olarak incelenen I2C haberleşme yapısı ve TMP117 sıcaklık sensörüne ait register organizasyonu, çalışan bir gömülü yazılım uygulamasına dönüştürülmüştür. Bu hafta geliştirilen kod yapısında, öncelikle sistemin temel çalışma mantığını doğrulamak amacıyla üretici tarafından sağlanan hazır kütüphaneler ve Driverlib fonksiyonları kullanılmıştır. Bu yaklaşım sayesinde ilk aşamada donanımın doğru şekilde çalıştırılması, sensörle haberleşmenin kurulması ve sıcaklık verisinin başarıyla okunması hedeflenmiştir.</w:t>
            </w:r>
          </w:p>
          <w:p w14:paraId="55964CC6" w14:textId="02F9C71C" w:rsidR="00CB19DB" w:rsidRPr="00CB19DB" w:rsidRDefault="00CB19DB" w:rsidP="00BF1756">
            <w:pPr>
              <w:rPr>
                <w:rFonts w:asciiTheme="majorHAnsi" w:hAnsiTheme="majorHAnsi"/>
                <w:bCs/>
              </w:rPr>
            </w:pPr>
            <w:r w:rsidRPr="00CB19DB">
              <w:rPr>
                <w:rFonts w:asciiTheme="majorHAnsi" w:hAnsiTheme="majorHAnsi"/>
                <w:bCs/>
              </w:rPr>
              <w:t xml:space="preserve">Bununla birlikte mevcut yazılım yapısı, proje ilerledikçe daha modüler ve yeniden kullanılabilir bir mimariye dönüştürülecektir. İlerleyen haftalarda kodun </w:t>
            </w:r>
            <w:r w:rsidRPr="00CB19DB">
              <w:rPr>
                <w:rFonts w:asciiTheme="majorHAnsi" w:hAnsiTheme="majorHAnsi"/>
                <w:b/>
                <w:bCs/>
              </w:rPr>
              <w:t>Driver – BSP – HAL</w:t>
            </w:r>
            <w:r w:rsidRPr="00CB19DB">
              <w:rPr>
                <w:rFonts w:asciiTheme="majorHAnsi" w:hAnsiTheme="majorHAnsi"/>
                <w:bCs/>
              </w:rPr>
              <w:t xml:space="preserve"> katmanlarına ayrılması planlanmaktadır. Bu yapı sayesinde donanıma özgü register işlemleri ile uygulama seviyesindeki fonksiyonlar birbirinden ayrılacak, kodun okunabilirliği ve bakım yapılabilirliği artacak, ayrıca aynı yazılım altyapısının farklı çevre birimleri veya farklı donanım platformlarında tekrar kullanılabilmesi mümkün hale gelecektir. Özellikle sürdürülebilirlik, test edilebilirlik ve geliştirilebilirlik açısından bu katmanlı mimari büyük önem taşımaktadır.</w:t>
            </w:r>
          </w:p>
          <w:p w14:paraId="0C643674" w14:textId="32711B8C" w:rsidR="00CB19DB" w:rsidRDefault="008C3E40" w:rsidP="00BF1756">
            <w:pPr>
              <w:rPr>
                <w:rFonts w:asciiTheme="majorHAnsi" w:hAnsiTheme="majorHAnsi"/>
                <w:b/>
                <w:u w:val="single"/>
              </w:rPr>
            </w:pPr>
            <w:r w:rsidRPr="008C3E40">
              <w:rPr>
                <w:rFonts w:asciiTheme="majorHAnsi" w:hAnsiTheme="majorHAnsi"/>
                <w:b/>
                <w:u w:val="single"/>
              </w:rPr>
              <w:t>I2C ile Sıcaklık Ölçümü İçin Yazılımda İzlenen Genel Akış</w:t>
            </w:r>
          </w:p>
          <w:p w14:paraId="77FD0766" w14:textId="77777777" w:rsidR="008C3E40" w:rsidRPr="008C3E40" w:rsidRDefault="008C3E40" w:rsidP="008C3E40">
            <w:pPr>
              <w:rPr>
                <w:rFonts w:asciiTheme="majorHAnsi" w:hAnsiTheme="majorHAnsi"/>
                <w:bCs/>
              </w:rPr>
            </w:pPr>
            <w:r w:rsidRPr="008C3E40">
              <w:rPr>
                <w:rFonts w:asciiTheme="majorHAnsi" w:hAnsiTheme="majorHAnsi"/>
                <w:bCs/>
              </w:rPr>
              <w:t xml:space="preserve">TMP117 sıcaklık sensöründen veri okunabilmesi için yazılım tarafında belirli bir işlem sırasının takip edilmesi gerekmektedir. Bu akış, </w:t>
            </w:r>
            <w:r w:rsidRPr="008C3E40">
              <w:rPr>
                <w:rFonts w:asciiTheme="majorHAnsi" w:hAnsiTheme="majorHAnsi"/>
                <w:b/>
              </w:rPr>
              <w:t>HLR</w:t>
            </w:r>
            <w:r w:rsidRPr="008C3E40">
              <w:rPr>
                <w:rFonts w:asciiTheme="majorHAnsi" w:hAnsiTheme="majorHAnsi"/>
                <w:bCs/>
              </w:rPr>
              <w:t xml:space="preserve"> benzeri üst seviye fonksiyonel mantıkla aşağıdaki şekilde tanımlanmıştır:</w:t>
            </w:r>
          </w:p>
          <w:p w14:paraId="4111C173"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Sistem başlatma işlemlerinin yapılması</w:t>
            </w:r>
            <w:r w:rsidRPr="008C3E40">
              <w:rPr>
                <w:rFonts w:asciiTheme="majorHAnsi" w:hAnsiTheme="majorHAnsi"/>
              </w:rPr>
              <w:br/>
              <w:t>Mikrodenetleyicinin temel saat, sistem ve GPIO altyapısı aktif hale getirilir.</w:t>
            </w:r>
          </w:p>
          <w:p w14:paraId="61373A1C"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I2C çevre birimi saatinin açılması</w:t>
            </w:r>
            <w:r w:rsidRPr="008C3E40">
              <w:rPr>
                <w:rFonts w:asciiTheme="majorHAnsi" w:hAnsiTheme="majorHAnsi"/>
              </w:rPr>
              <w:br/>
              <w:t>Kullanılacak I2C modülüne ait peripheral clock enable edilerek çevre birimi erişilebilir hale getirilir.</w:t>
            </w:r>
          </w:p>
          <w:p w14:paraId="1EBD1C24"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SDA ve SCL pinlerinin I2C fonksiyonuna atanması</w:t>
            </w:r>
            <w:r w:rsidRPr="008C3E40">
              <w:rPr>
                <w:rFonts w:asciiTheme="majorHAnsi" w:hAnsiTheme="majorHAnsi"/>
              </w:rPr>
              <w:br/>
              <w:t>İlgili GPIO pinleri alternatif fonksiyon moduna alınarak I2C veri ve saat hattı olarak yapılandırılır.</w:t>
            </w:r>
          </w:p>
          <w:p w14:paraId="57ED4DFE"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lastRenderedPageBreak/>
              <w:t>Pin elektriksel özelliklerinin ayarlanması</w:t>
            </w:r>
            <w:r w:rsidRPr="008C3E40">
              <w:rPr>
                <w:rFonts w:asciiTheme="majorHAnsi" w:hAnsiTheme="majorHAnsi"/>
              </w:rPr>
              <w:br/>
              <w:t>I2C hattına uygun olacak şekilde pull-up ve asenkron giriş yapısı seçilir.</w:t>
            </w:r>
          </w:p>
          <w:p w14:paraId="45D5FCF6"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I2C modülünün disable/reset durumda yapılandırılması</w:t>
            </w:r>
            <w:r w:rsidRPr="008C3E40">
              <w:rPr>
                <w:rFonts w:asciiTheme="majorHAnsi" w:hAnsiTheme="majorHAnsi"/>
              </w:rPr>
              <w:br/>
              <w:t>Yapılandırma güvenli şekilde yapılabilsin diye modül önce disable edilir.</w:t>
            </w:r>
          </w:p>
          <w:p w14:paraId="3D565497"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Master mod, haberleşme hızı ve adresleme yapısının ayarlanması</w:t>
            </w:r>
            <w:r w:rsidRPr="008C3E40">
              <w:rPr>
                <w:rFonts w:asciiTheme="majorHAnsi" w:hAnsiTheme="majorHAnsi"/>
              </w:rPr>
              <w:br/>
              <w:t>I2C modülü 100 kHz hızda, 7-bit adresleme ve 8-bit veri genişliği ile çalışacak şekilde başlatılır.</w:t>
            </w:r>
          </w:p>
          <w:p w14:paraId="33F7FBEC"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FIFO yapısının etkinleştirilmesi</w:t>
            </w:r>
            <w:r w:rsidRPr="008C3E40">
              <w:rPr>
                <w:rFonts w:asciiTheme="majorHAnsi" w:hAnsiTheme="majorHAnsi"/>
              </w:rPr>
              <w:br/>
              <w:t>Veri alma-gönderme sırasında tamponlama yapısının kullanılması sağlanır.</w:t>
            </w:r>
          </w:p>
          <w:p w14:paraId="4B88691F"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I2C modülünün aktif hale getirilmesi</w:t>
            </w:r>
            <w:r w:rsidRPr="008C3E40">
              <w:rPr>
                <w:rFonts w:asciiTheme="majorHAnsi" w:hAnsiTheme="majorHAnsi"/>
              </w:rPr>
              <w:br/>
              <w:t>Konfigürasyon tamamlandıktan sonra modül enable edilerek çalışmaya hazır duruma getirilir.</w:t>
            </w:r>
          </w:p>
          <w:p w14:paraId="4B35A2AD"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Hedef sensör adresinin belirlenmesi</w:t>
            </w:r>
            <w:r w:rsidRPr="008C3E40">
              <w:rPr>
                <w:rFonts w:asciiTheme="majorHAnsi" w:hAnsiTheme="majorHAnsi"/>
              </w:rPr>
              <w:br/>
              <w:t>TMP117 sensörünün I2C adresi seçilir.</w:t>
            </w:r>
          </w:p>
          <w:p w14:paraId="63AEAD93"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Veri alma modunun seçilmesi ve okunacak byte sayısının tanımlanması</w:t>
            </w:r>
            <w:r w:rsidRPr="008C3E40">
              <w:rPr>
                <w:rFonts w:asciiTheme="majorHAnsi" w:hAnsiTheme="majorHAnsi"/>
                <w:b/>
                <w:bCs/>
              </w:rPr>
              <w:br/>
            </w:r>
            <w:r w:rsidRPr="008C3E40">
              <w:rPr>
                <w:rFonts w:asciiTheme="majorHAnsi" w:hAnsiTheme="majorHAnsi"/>
              </w:rPr>
              <w:t>Sensörden kaç byte veri alınacağı belirlenir.</w:t>
            </w:r>
          </w:p>
          <w:p w14:paraId="3F45BB5E"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START condition üretilmesi ve veri alımının başlatılması</w:t>
            </w:r>
            <w:r w:rsidRPr="008C3E40">
              <w:rPr>
                <w:rFonts w:asciiTheme="majorHAnsi" w:hAnsiTheme="majorHAnsi"/>
              </w:rPr>
              <w:br/>
              <w:t>I2C haberleşmesi fiziksel olarak başlatılır.</w:t>
            </w:r>
          </w:p>
          <w:p w14:paraId="7131CC41" w14:textId="5D24019D" w:rsidR="008C3E40" w:rsidRPr="008C3E40" w:rsidRDefault="008C3E40" w:rsidP="008C3E40">
            <w:pPr>
              <w:numPr>
                <w:ilvl w:val="0"/>
                <w:numId w:val="1"/>
              </w:numPr>
              <w:rPr>
                <w:rFonts w:asciiTheme="majorHAnsi" w:hAnsiTheme="majorHAnsi"/>
              </w:rPr>
            </w:pPr>
            <w:r w:rsidRPr="008C3E40">
              <w:rPr>
                <w:rFonts w:asciiTheme="majorHAnsi" w:hAnsiTheme="majorHAnsi"/>
                <w:b/>
                <w:bCs/>
              </w:rPr>
              <w:t>Gelen verinin kontrol edilmesi ve okunması</w:t>
            </w:r>
            <w:r w:rsidRPr="008C3E40">
              <w:rPr>
                <w:rFonts w:asciiTheme="majorHAnsi" w:hAnsiTheme="majorHAnsi"/>
              </w:rPr>
              <w:br/>
              <w:t>FIFO doluluk durumu kontrol edilerek üst ve alt byte okunur.</w:t>
            </w:r>
          </w:p>
          <w:p w14:paraId="1E75C1EA"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STOP condition üretilmesi</w:t>
            </w:r>
            <w:r w:rsidRPr="008C3E40">
              <w:rPr>
                <w:rFonts w:asciiTheme="majorHAnsi" w:hAnsiTheme="majorHAnsi"/>
              </w:rPr>
              <w:br/>
              <w:t>Haberleşme çevrimi düzgün şekilde sonlandırılır.</w:t>
            </w:r>
          </w:p>
          <w:p w14:paraId="269D01DB"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Ham verinin sıcaklık değerine dönüştürülmesi</w:t>
            </w:r>
            <w:r w:rsidRPr="008C3E40">
              <w:rPr>
                <w:rFonts w:asciiTheme="majorHAnsi" w:hAnsiTheme="majorHAnsi"/>
              </w:rPr>
              <w:br/>
              <w:t>Sensörden gelen iki byte birleştirilir ve fiziksel sıcaklık değeri hesaplanır.</w:t>
            </w:r>
          </w:p>
          <w:p w14:paraId="705CEBD9" w14:textId="77777777" w:rsidR="008C3E40" w:rsidRPr="008C3E40" w:rsidRDefault="008C3E40" w:rsidP="008C3E40">
            <w:pPr>
              <w:numPr>
                <w:ilvl w:val="0"/>
                <w:numId w:val="1"/>
              </w:numPr>
              <w:rPr>
                <w:rFonts w:asciiTheme="majorHAnsi" w:hAnsiTheme="majorHAnsi"/>
              </w:rPr>
            </w:pPr>
            <w:r w:rsidRPr="008C3E40">
              <w:rPr>
                <w:rFonts w:asciiTheme="majorHAnsi" w:hAnsiTheme="majorHAnsi"/>
                <w:b/>
                <w:bCs/>
              </w:rPr>
              <w:t>Güvenilirlik amaçlı kontrol mekanizmalarının uygulanması</w:t>
            </w:r>
            <w:r w:rsidRPr="008C3E40">
              <w:rPr>
                <w:rFonts w:asciiTheme="majorHAnsi" w:hAnsiTheme="majorHAnsi"/>
              </w:rPr>
              <w:br/>
              <w:t>Sonsuz bekleme durumlarını önlemek için timeout yapısı ve yazılımın sürekli çalıştığını göstermek amacıyla loop sayacı kullanılır.</w:t>
            </w:r>
          </w:p>
          <w:p w14:paraId="6064DD8E" w14:textId="77777777" w:rsidR="008C3E40" w:rsidRDefault="008C3E40" w:rsidP="00BF1756">
            <w:pPr>
              <w:rPr>
                <w:rFonts w:asciiTheme="majorHAnsi" w:hAnsiTheme="majorHAnsi"/>
                <w:b/>
                <w:u w:val="single"/>
              </w:rPr>
            </w:pPr>
          </w:p>
          <w:p w14:paraId="6C4C5FF1" w14:textId="469EE34C" w:rsidR="00F36B09" w:rsidRDefault="00F36B09" w:rsidP="00BF1756">
            <w:pPr>
              <w:rPr>
                <w:rFonts w:asciiTheme="majorHAnsi" w:hAnsiTheme="majorHAnsi"/>
                <w:b/>
                <w:u w:val="single"/>
              </w:rPr>
            </w:pPr>
          </w:p>
          <w:p w14:paraId="56AB2ED4" w14:textId="4F5789C0" w:rsidR="00CB19DB" w:rsidRDefault="008C3E40" w:rsidP="00BF1756">
            <w:pPr>
              <w:rPr>
                <w:rFonts w:asciiTheme="majorHAnsi" w:hAnsiTheme="majorHAnsi"/>
                <w:b/>
                <w:u w:val="single"/>
              </w:rPr>
            </w:pPr>
            <w:r w:rsidRPr="008C3E40">
              <w:rPr>
                <w:rFonts w:asciiTheme="majorHAnsi" w:hAnsiTheme="majorHAnsi"/>
                <w:b/>
                <w:u w:val="single"/>
              </w:rPr>
              <w:lastRenderedPageBreak/>
              <w:t>Include ve Global Değişkenler Kısmı</w:t>
            </w:r>
          </w:p>
          <w:p w14:paraId="05787F9A" w14:textId="77777777" w:rsidR="00C263D5" w:rsidRDefault="008C3E40" w:rsidP="00BF1756">
            <w:pPr>
              <w:rPr>
                <w:rFonts w:asciiTheme="majorHAnsi" w:hAnsiTheme="majorHAnsi"/>
                <w:bCs/>
              </w:rPr>
            </w:pPr>
            <w:r w:rsidRPr="008C3E40">
              <w:rPr>
                <w:rFonts w:asciiTheme="majorHAnsi" w:hAnsiTheme="majorHAnsi"/>
                <w:bCs/>
              </w:rPr>
              <w:t xml:space="preserve">Kodun başlangıç bölümünde kullanılan </w:t>
            </w:r>
            <w:r w:rsidRPr="008A6113">
              <w:rPr>
                <w:rFonts w:asciiTheme="majorHAnsi" w:hAnsiTheme="majorHAnsi"/>
                <w:b/>
              </w:rPr>
              <w:t>device.h</w:t>
            </w:r>
            <w:r w:rsidRPr="008C3E40">
              <w:rPr>
                <w:rFonts w:asciiTheme="majorHAnsi" w:hAnsiTheme="majorHAnsi"/>
                <w:bCs/>
              </w:rPr>
              <w:t xml:space="preserve"> ve </w:t>
            </w:r>
            <w:r w:rsidRPr="008A6113">
              <w:rPr>
                <w:rFonts w:asciiTheme="majorHAnsi" w:hAnsiTheme="majorHAnsi"/>
                <w:b/>
              </w:rPr>
              <w:t>driverlib.h</w:t>
            </w:r>
            <w:r w:rsidRPr="008C3E40">
              <w:rPr>
                <w:rFonts w:asciiTheme="majorHAnsi" w:hAnsiTheme="majorHAnsi"/>
                <w:bCs/>
              </w:rPr>
              <w:t xml:space="preserve"> başlık dosyaları, mikrodenetleyicinin sistem başlatma işlemleri ile GPIO ve I2C gibi çevre birimlerinin kontrolüne yönelik hazır fonksiyonları projeye dahil etmektedir. Bu yapı sayesinde ilk doğrulama aşamasında doğrudan register adresleri ile çalışmak yerine, daha okunabilir ve hızlı geliştirilebilir bir yazılım yaklaşımı izlenmiştir. </w:t>
            </w:r>
          </w:p>
          <w:p w14:paraId="667D66E2" w14:textId="3918BF87" w:rsidR="008C3E40" w:rsidRPr="008C3E40" w:rsidRDefault="008C3E40" w:rsidP="00BF1756">
            <w:pPr>
              <w:rPr>
                <w:rFonts w:asciiTheme="majorHAnsi" w:hAnsiTheme="majorHAnsi"/>
                <w:bCs/>
              </w:rPr>
            </w:pPr>
            <w:r w:rsidRPr="008C3E40">
              <w:rPr>
                <w:rFonts w:asciiTheme="majorHAnsi" w:hAnsiTheme="majorHAnsi"/>
                <w:bCs/>
              </w:rPr>
              <w:t xml:space="preserve">Global değişkenler bölümünde yer alan hamVeri değişkeni sensörden okunan iki byte’lık sıcaklık bilgisinin birleştirilmiş halini saklamak için, </w:t>
            </w:r>
            <w:r w:rsidRPr="00C263D5">
              <w:rPr>
                <w:rFonts w:asciiTheme="majorHAnsi" w:hAnsiTheme="majorHAnsi"/>
                <w:b/>
              </w:rPr>
              <w:t>anlikSicaklik</w:t>
            </w:r>
            <w:r w:rsidRPr="008C3E40">
              <w:rPr>
                <w:rFonts w:asciiTheme="majorHAnsi" w:hAnsiTheme="majorHAnsi"/>
                <w:bCs/>
              </w:rPr>
              <w:t xml:space="preserve"> değişkeni bu ham veriden elde edilen fiziksel sıcaklık değerini tutmak için, </w:t>
            </w:r>
            <w:r w:rsidRPr="00C263D5">
              <w:rPr>
                <w:rFonts w:asciiTheme="majorHAnsi" w:hAnsiTheme="majorHAnsi"/>
                <w:b/>
              </w:rPr>
              <w:t>loopSayaci</w:t>
            </w:r>
            <w:r w:rsidRPr="008C3E40">
              <w:rPr>
                <w:rFonts w:asciiTheme="majorHAnsi" w:hAnsiTheme="majorHAnsi"/>
                <w:bCs/>
              </w:rPr>
              <w:t xml:space="preserve"> değişkeni ise yazılımın ana döngü içerisinde sürekli çalıştığını kontrol etmek amacıyla kullanılmıştır. Bu değişkenler aynı zamanda debug sürecinde izleme ve doğrulama kolaylığı sağlamaktadır.</w:t>
            </w:r>
          </w:p>
          <w:p w14:paraId="6D0E84FF" w14:textId="1E1737AF" w:rsidR="00F40D70" w:rsidRDefault="008C3E40" w:rsidP="00BF1756">
            <w:pPr>
              <w:rPr>
                <w:rFonts w:asciiTheme="majorHAnsi" w:hAnsiTheme="majorHAnsi"/>
                <w:b/>
                <w:u w:val="single"/>
              </w:rPr>
            </w:pPr>
            <w:r w:rsidRPr="008C3E40">
              <w:rPr>
                <w:rFonts w:asciiTheme="majorHAnsi" w:hAnsiTheme="majorHAnsi"/>
                <w:b/>
                <w:u w:val="single"/>
              </w:rPr>
              <w:t>Main Fonksiyonu</w:t>
            </w:r>
          </w:p>
          <w:tbl>
            <w:tblPr>
              <w:tblStyle w:val="TableGrid"/>
              <w:tblW w:w="9162" w:type="dxa"/>
              <w:tblLook w:val="04A0" w:firstRow="1" w:lastRow="0" w:firstColumn="1" w:lastColumn="0" w:noHBand="0" w:noVBand="1"/>
            </w:tblPr>
            <w:tblGrid>
              <w:gridCol w:w="4136"/>
              <w:gridCol w:w="3259"/>
              <w:gridCol w:w="1767"/>
            </w:tblGrid>
            <w:tr w:rsidR="008C3E40" w:rsidRPr="008C3E40" w14:paraId="02EBB106" w14:textId="77777777" w:rsidTr="00C263D5">
              <w:trPr>
                <w:trHeight w:val="315"/>
              </w:trPr>
              <w:tc>
                <w:tcPr>
                  <w:tcW w:w="4136" w:type="dxa"/>
                </w:tcPr>
                <w:p w14:paraId="61A563E2" w14:textId="174CEE03" w:rsidR="008C3E40" w:rsidRPr="00C263D5" w:rsidRDefault="008C3E40" w:rsidP="008C3E40">
                  <w:pPr>
                    <w:spacing w:after="0" w:line="240" w:lineRule="auto"/>
                    <w:jc w:val="center"/>
                    <w:rPr>
                      <w:rFonts w:asciiTheme="minorHAnsi" w:eastAsia="Times New Roman" w:hAnsiTheme="minorHAnsi" w:cstheme="minorHAnsi"/>
                      <w:b/>
                      <w:bCs/>
                      <w:color w:val="1F497D" w:themeColor="text2"/>
                      <w:sz w:val="20"/>
                      <w:szCs w:val="20"/>
                      <w:u w:val="single"/>
                      <w:lang w:eastAsia="tr-TR"/>
                    </w:rPr>
                  </w:pPr>
                  <w:r w:rsidRPr="00C263D5">
                    <w:rPr>
                      <w:rFonts w:asciiTheme="minorHAnsi" w:eastAsia="Times New Roman" w:hAnsiTheme="minorHAnsi" w:cstheme="minorHAnsi"/>
                      <w:b/>
                      <w:bCs/>
                      <w:color w:val="000000" w:themeColor="text1"/>
                      <w:sz w:val="20"/>
                      <w:szCs w:val="20"/>
                      <w:u w:val="single"/>
                      <w:lang w:eastAsia="tr-TR"/>
                    </w:rPr>
                    <w:t>Kod Satırı</w:t>
                  </w:r>
                </w:p>
              </w:tc>
              <w:tc>
                <w:tcPr>
                  <w:tcW w:w="3259" w:type="dxa"/>
                </w:tcPr>
                <w:p w14:paraId="20F5B05E" w14:textId="2BC649EA" w:rsidR="008C3E40" w:rsidRPr="00C263D5" w:rsidRDefault="008C3E40" w:rsidP="008C3E40">
                  <w:pPr>
                    <w:spacing w:after="0" w:line="240" w:lineRule="auto"/>
                    <w:jc w:val="center"/>
                    <w:rPr>
                      <w:rFonts w:asciiTheme="minorHAnsi" w:eastAsia="Times New Roman" w:hAnsiTheme="minorHAnsi" w:cstheme="minorHAnsi"/>
                      <w:b/>
                      <w:bCs/>
                      <w:sz w:val="20"/>
                      <w:szCs w:val="20"/>
                      <w:u w:val="single"/>
                      <w:lang w:eastAsia="tr-TR"/>
                    </w:rPr>
                  </w:pPr>
                  <w:r w:rsidRPr="00C263D5">
                    <w:rPr>
                      <w:rFonts w:asciiTheme="minorHAnsi" w:eastAsia="Times New Roman" w:hAnsiTheme="minorHAnsi" w:cstheme="minorHAnsi"/>
                      <w:b/>
                      <w:bCs/>
                      <w:sz w:val="20"/>
                      <w:szCs w:val="20"/>
                      <w:u w:val="single"/>
                      <w:lang w:eastAsia="tr-TR"/>
                    </w:rPr>
                    <w:t>Ne İşe Yarar?</w:t>
                  </w:r>
                </w:p>
              </w:tc>
              <w:tc>
                <w:tcPr>
                  <w:tcW w:w="1767" w:type="dxa"/>
                </w:tcPr>
                <w:p w14:paraId="0C7BC2C5" w14:textId="08B79ACA" w:rsidR="008C3E40" w:rsidRPr="00C263D5" w:rsidRDefault="00C263D5" w:rsidP="008C3E40">
                  <w:pPr>
                    <w:spacing w:after="0" w:line="240" w:lineRule="auto"/>
                    <w:jc w:val="center"/>
                    <w:rPr>
                      <w:rFonts w:asciiTheme="minorHAnsi" w:eastAsia="Times New Roman" w:hAnsiTheme="minorHAnsi" w:cstheme="minorHAnsi"/>
                      <w:b/>
                      <w:bCs/>
                      <w:sz w:val="20"/>
                      <w:szCs w:val="20"/>
                      <w:u w:val="single"/>
                      <w:lang w:eastAsia="tr-TR"/>
                    </w:rPr>
                  </w:pPr>
                  <w:r w:rsidRPr="00C263D5">
                    <w:rPr>
                      <w:rFonts w:asciiTheme="minorHAnsi" w:eastAsia="Times New Roman" w:hAnsiTheme="minorHAnsi" w:cstheme="minorHAnsi"/>
                      <w:b/>
                      <w:bCs/>
                      <w:sz w:val="20"/>
                      <w:szCs w:val="20"/>
                      <w:u w:val="single"/>
                      <w:lang w:eastAsia="tr-TR"/>
                    </w:rPr>
                    <w:t>Etkilediği Register / Alt Birim</w:t>
                  </w:r>
                </w:p>
              </w:tc>
            </w:tr>
            <w:tr w:rsidR="008C3E40" w:rsidRPr="008C3E40" w14:paraId="61B7BBE6" w14:textId="77777777" w:rsidTr="00C263D5">
              <w:trPr>
                <w:trHeight w:val="315"/>
              </w:trPr>
              <w:tc>
                <w:tcPr>
                  <w:tcW w:w="4136" w:type="dxa"/>
                  <w:hideMark/>
                </w:tcPr>
                <w:p w14:paraId="59A38830"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uint16_t ustByte = 0;</w:t>
                  </w:r>
                </w:p>
              </w:tc>
              <w:tc>
                <w:tcPr>
                  <w:tcW w:w="3259" w:type="dxa"/>
                  <w:hideMark/>
                </w:tcPr>
                <w:p w14:paraId="71AC7D77"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Sensörden okunacak üst byte verisini geçici olarak tutar.</w:t>
                  </w:r>
                </w:p>
              </w:tc>
              <w:tc>
                <w:tcPr>
                  <w:tcW w:w="1767" w:type="dxa"/>
                  <w:hideMark/>
                </w:tcPr>
                <w:p w14:paraId="01562AE1"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RAM üzerinde yerel değişken</w:t>
                  </w:r>
                </w:p>
              </w:tc>
            </w:tr>
            <w:tr w:rsidR="008C3E40" w:rsidRPr="008C3E40" w14:paraId="33940732" w14:textId="77777777" w:rsidTr="00C263D5">
              <w:trPr>
                <w:trHeight w:val="315"/>
              </w:trPr>
              <w:tc>
                <w:tcPr>
                  <w:tcW w:w="4136" w:type="dxa"/>
                  <w:hideMark/>
                </w:tcPr>
                <w:p w14:paraId="60B04F4E"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uint16_t altByte = 0;</w:t>
                  </w:r>
                </w:p>
              </w:tc>
              <w:tc>
                <w:tcPr>
                  <w:tcW w:w="3259" w:type="dxa"/>
                  <w:hideMark/>
                </w:tcPr>
                <w:p w14:paraId="66DF4617"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Sensörden okunacak alt byte verisini geçici olarak tutar.</w:t>
                  </w:r>
                </w:p>
              </w:tc>
              <w:tc>
                <w:tcPr>
                  <w:tcW w:w="1767" w:type="dxa"/>
                  <w:hideMark/>
                </w:tcPr>
                <w:p w14:paraId="1E90C9A2"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RAM üzerinde yerel değişken</w:t>
                  </w:r>
                </w:p>
              </w:tc>
            </w:tr>
            <w:tr w:rsidR="008C3E40" w:rsidRPr="008C3E40" w14:paraId="745AE418" w14:textId="77777777" w:rsidTr="00C263D5">
              <w:trPr>
                <w:trHeight w:val="315"/>
              </w:trPr>
              <w:tc>
                <w:tcPr>
                  <w:tcW w:w="4136" w:type="dxa"/>
                  <w:hideMark/>
                </w:tcPr>
                <w:p w14:paraId="50E4DD9C"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Device_init();</w:t>
                  </w:r>
                </w:p>
              </w:tc>
              <w:tc>
                <w:tcPr>
                  <w:tcW w:w="3259" w:type="dxa"/>
                  <w:hideMark/>
                </w:tcPr>
                <w:p w14:paraId="77167858"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Mikrodenetleyicinin temel sistem başlatma işlemlerini gerçekleştirir.</w:t>
                  </w:r>
                </w:p>
              </w:tc>
              <w:tc>
                <w:tcPr>
                  <w:tcW w:w="1767" w:type="dxa"/>
                  <w:hideMark/>
                </w:tcPr>
                <w:p w14:paraId="3413BD88"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Sistem clock ve temel cihaz altyapısı</w:t>
                  </w:r>
                </w:p>
              </w:tc>
            </w:tr>
            <w:tr w:rsidR="008C3E40" w:rsidRPr="008C3E40" w14:paraId="327C508B" w14:textId="77777777" w:rsidTr="00C263D5">
              <w:trPr>
                <w:trHeight w:val="315"/>
              </w:trPr>
              <w:tc>
                <w:tcPr>
                  <w:tcW w:w="4136" w:type="dxa"/>
                  <w:hideMark/>
                </w:tcPr>
                <w:p w14:paraId="5DED56D1"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Device_initGPIO();</w:t>
                  </w:r>
                </w:p>
              </w:tc>
              <w:tc>
                <w:tcPr>
                  <w:tcW w:w="3259" w:type="dxa"/>
                  <w:hideMark/>
                </w:tcPr>
                <w:p w14:paraId="7528718E"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altyapısını başlatır ve pin yapılandırmasına hazır hale getirir.</w:t>
                  </w:r>
                </w:p>
              </w:tc>
              <w:tc>
                <w:tcPr>
                  <w:tcW w:w="1767" w:type="dxa"/>
                  <w:hideMark/>
                </w:tcPr>
                <w:p w14:paraId="2B99486D"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alt sistemi</w:t>
                  </w:r>
                </w:p>
              </w:tc>
            </w:tr>
            <w:tr w:rsidR="008C3E40" w:rsidRPr="008C3E40" w14:paraId="23385B31" w14:textId="77777777" w:rsidTr="00C263D5">
              <w:trPr>
                <w:trHeight w:val="315"/>
              </w:trPr>
              <w:tc>
                <w:tcPr>
                  <w:tcW w:w="4136" w:type="dxa"/>
                  <w:hideMark/>
                </w:tcPr>
                <w:p w14:paraId="662AC141"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SysCtl_enablePeripheral(SYSCTL_PERIPH_CLK_I2CB);</w:t>
                  </w:r>
                </w:p>
              </w:tc>
              <w:tc>
                <w:tcPr>
                  <w:tcW w:w="3259" w:type="dxa"/>
                  <w:hideMark/>
                </w:tcPr>
                <w:p w14:paraId="1144D5E0"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I2C-B çevre biriminin saatini açar. Clock açılmadan modüle erişilemez.</w:t>
                  </w:r>
                </w:p>
              </w:tc>
              <w:tc>
                <w:tcPr>
                  <w:tcW w:w="1767" w:type="dxa"/>
                  <w:hideMark/>
                </w:tcPr>
                <w:p w14:paraId="18CD9E23"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System Control / Peripheral Clock Gating</w:t>
                  </w:r>
                </w:p>
              </w:tc>
            </w:tr>
            <w:tr w:rsidR="008C3E40" w:rsidRPr="008C3E40" w14:paraId="4C91AC76" w14:textId="77777777" w:rsidTr="00C263D5">
              <w:trPr>
                <w:trHeight w:val="315"/>
              </w:trPr>
              <w:tc>
                <w:tcPr>
                  <w:tcW w:w="4136" w:type="dxa"/>
                  <w:hideMark/>
                </w:tcPr>
                <w:p w14:paraId="440F1C4D"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GPIO_setPinConfig(GPIO_40_I2CB_SDA);</w:t>
                  </w:r>
                </w:p>
              </w:tc>
              <w:tc>
                <w:tcPr>
                  <w:tcW w:w="3259" w:type="dxa"/>
                  <w:hideMark/>
                </w:tcPr>
                <w:p w14:paraId="12BD83FA"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40 numaralı pini I2C-B SDA hattına yönlendirir.</w:t>
                  </w:r>
                </w:p>
              </w:tc>
              <w:tc>
                <w:tcPr>
                  <w:tcW w:w="1767" w:type="dxa"/>
                  <w:hideMark/>
                </w:tcPr>
                <w:p w14:paraId="0B7CC4AC"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mux registerları</w:t>
                  </w:r>
                </w:p>
              </w:tc>
            </w:tr>
            <w:tr w:rsidR="008C3E40" w:rsidRPr="008C3E40" w14:paraId="05707B28" w14:textId="77777777" w:rsidTr="00C263D5">
              <w:trPr>
                <w:trHeight w:val="315"/>
              </w:trPr>
              <w:tc>
                <w:tcPr>
                  <w:tcW w:w="4136" w:type="dxa"/>
                  <w:hideMark/>
                </w:tcPr>
                <w:p w14:paraId="0B920AA1"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GPIO_setPadConfig(40, GPIO_PIN_TYPE_PULLUP);</w:t>
                  </w:r>
                </w:p>
              </w:tc>
              <w:tc>
                <w:tcPr>
                  <w:tcW w:w="3259" w:type="dxa"/>
                  <w:hideMark/>
                </w:tcPr>
                <w:p w14:paraId="7CAE7B35"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SDA hattı için pull-up yapısını ayarlar.</w:t>
                  </w:r>
                </w:p>
              </w:tc>
              <w:tc>
                <w:tcPr>
                  <w:tcW w:w="1767" w:type="dxa"/>
                  <w:hideMark/>
                </w:tcPr>
                <w:p w14:paraId="4CB98D59"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pad config registerları</w:t>
                  </w:r>
                </w:p>
              </w:tc>
            </w:tr>
            <w:tr w:rsidR="008C3E40" w:rsidRPr="008C3E40" w14:paraId="5DB4C82D" w14:textId="77777777" w:rsidTr="00C263D5">
              <w:trPr>
                <w:trHeight w:val="315"/>
              </w:trPr>
              <w:tc>
                <w:tcPr>
                  <w:tcW w:w="4136" w:type="dxa"/>
                  <w:hideMark/>
                </w:tcPr>
                <w:p w14:paraId="47316F9E"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GPIO_setQualificationMode(40, GPIO_QUAL_ASYNC);</w:t>
                  </w:r>
                </w:p>
              </w:tc>
              <w:tc>
                <w:tcPr>
                  <w:tcW w:w="3259" w:type="dxa"/>
                  <w:hideMark/>
                </w:tcPr>
                <w:p w14:paraId="4E93E22E"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SDA pini için asenkron örnekleme seçer.</w:t>
                  </w:r>
                </w:p>
              </w:tc>
              <w:tc>
                <w:tcPr>
                  <w:tcW w:w="1767" w:type="dxa"/>
                  <w:hideMark/>
                </w:tcPr>
                <w:p w14:paraId="1A58DA20"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qualification registerları</w:t>
                  </w:r>
                </w:p>
              </w:tc>
            </w:tr>
            <w:tr w:rsidR="008C3E40" w:rsidRPr="008C3E40" w14:paraId="6DE05871" w14:textId="77777777" w:rsidTr="00C263D5">
              <w:trPr>
                <w:trHeight w:val="315"/>
              </w:trPr>
              <w:tc>
                <w:tcPr>
                  <w:tcW w:w="4136" w:type="dxa"/>
                  <w:hideMark/>
                </w:tcPr>
                <w:p w14:paraId="7B705C48"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GPIO_setPinConfig(GPIO_41_I2CB_SCL);</w:t>
                  </w:r>
                </w:p>
              </w:tc>
              <w:tc>
                <w:tcPr>
                  <w:tcW w:w="3259" w:type="dxa"/>
                  <w:hideMark/>
                </w:tcPr>
                <w:p w14:paraId="2091329D"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41 numaralı pini I2C-B SCL hattına yönlendirir.</w:t>
                  </w:r>
                </w:p>
              </w:tc>
              <w:tc>
                <w:tcPr>
                  <w:tcW w:w="1767" w:type="dxa"/>
                  <w:hideMark/>
                </w:tcPr>
                <w:p w14:paraId="7D4F7FA2"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mux registerları</w:t>
                  </w:r>
                </w:p>
              </w:tc>
            </w:tr>
            <w:tr w:rsidR="008C3E40" w:rsidRPr="008C3E40" w14:paraId="10973C75" w14:textId="77777777" w:rsidTr="00C263D5">
              <w:trPr>
                <w:trHeight w:val="315"/>
              </w:trPr>
              <w:tc>
                <w:tcPr>
                  <w:tcW w:w="4136" w:type="dxa"/>
                  <w:hideMark/>
                </w:tcPr>
                <w:p w14:paraId="52ADEB26"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GPIO_setPadConfig(41, GPIO_PIN_TYPE_PULLUP);</w:t>
                  </w:r>
                </w:p>
              </w:tc>
              <w:tc>
                <w:tcPr>
                  <w:tcW w:w="3259" w:type="dxa"/>
                  <w:hideMark/>
                </w:tcPr>
                <w:p w14:paraId="7522F3A2"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SCL hattı için pull-up yapısını ayarlar.</w:t>
                  </w:r>
                </w:p>
              </w:tc>
              <w:tc>
                <w:tcPr>
                  <w:tcW w:w="1767" w:type="dxa"/>
                  <w:hideMark/>
                </w:tcPr>
                <w:p w14:paraId="58E97E18"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pad config registerları</w:t>
                  </w:r>
                </w:p>
              </w:tc>
            </w:tr>
            <w:tr w:rsidR="008C3E40" w:rsidRPr="008C3E40" w14:paraId="1D96C3A2" w14:textId="77777777" w:rsidTr="00C263D5">
              <w:trPr>
                <w:trHeight w:val="315"/>
              </w:trPr>
              <w:tc>
                <w:tcPr>
                  <w:tcW w:w="4136" w:type="dxa"/>
                  <w:hideMark/>
                </w:tcPr>
                <w:p w14:paraId="14F710E6"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GPIO_setQualificationMode(41, GPIO_QUAL_ASYNC);</w:t>
                  </w:r>
                </w:p>
              </w:tc>
              <w:tc>
                <w:tcPr>
                  <w:tcW w:w="3259" w:type="dxa"/>
                  <w:hideMark/>
                </w:tcPr>
                <w:p w14:paraId="65500A77"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SCL pini için asenkron örnekleme seçer.</w:t>
                  </w:r>
                </w:p>
              </w:tc>
              <w:tc>
                <w:tcPr>
                  <w:tcW w:w="1767" w:type="dxa"/>
                  <w:hideMark/>
                </w:tcPr>
                <w:p w14:paraId="4AAE58F0"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GPIO qualification registerları</w:t>
                  </w:r>
                </w:p>
              </w:tc>
            </w:tr>
            <w:tr w:rsidR="008C3E40" w:rsidRPr="008C3E40" w14:paraId="6273ABD8" w14:textId="77777777" w:rsidTr="00C263D5">
              <w:trPr>
                <w:trHeight w:val="315"/>
              </w:trPr>
              <w:tc>
                <w:tcPr>
                  <w:tcW w:w="4136" w:type="dxa"/>
                  <w:hideMark/>
                </w:tcPr>
                <w:p w14:paraId="3BDBEC87"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I2C_disableModule(I2CB_BASE);</w:t>
                  </w:r>
                </w:p>
              </w:tc>
              <w:tc>
                <w:tcPr>
                  <w:tcW w:w="3259" w:type="dxa"/>
                  <w:hideMark/>
                </w:tcPr>
                <w:p w14:paraId="7F0DC63D"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 modülünü yapılandırma öncesi disable duruma alır.</w:t>
                  </w:r>
                </w:p>
              </w:tc>
              <w:tc>
                <w:tcPr>
                  <w:tcW w:w="1767" w:type="dxa"/>
                  <w:hideMark/>
                </w:tcPr>
                <w:p w14:paraId="4E7B1223"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I2CMDR</w:t>
                  </w:r>
                </w:p>
              </w:tc>
            </w:tr>
            <w:tr w:rsidR="008C3E40" w:rsidRPr="008C3E40" w14:paraId="25CB7863" w14:textId="77777777" w:rsidTr="00C263D5">
              <w:trPr>
                <w:trHeight w:val="315"/>
              </w:trPr>
              <w:tc>
                <w:tcPr>
                  <w:tcW w:w="4136" w:type="dxa"/>
                  <w:hideMark/>
                </w:tcPr>
                <w:p w14:paraId="0A94633A"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I2C_initMaster(I2CB_BASE, DEVICE_SYSCLK_FREQ, 100000, I2C_DUTYCYCLE_50);</w:t>
                  </w:r>
                </w:p>
              </w:tc>
              <w:tc>
                <w:tcPr>
                  <w:tcW w:w="3259" w:type="dxa"/>
                  <w:hideMark/>
                </w:tcPr>
                <w:p w14:paraId="79AF4ECE"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 modülünü master modda 100 kHz hat frekansı ile başlatır.</w:t>
                  </w:r>
                </w:p>
              </w:tc>
              <w:tc>
                <w:tcPr>
                  <w:tcW w:w="1767" w:type="dxa"/>
                  <w:hideMark/>
                </w:tcPr>
                <w:p w14:paraId="556F3184"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I2CPSC, I2CCLKL, I2CCLKH, I2CMDR</w:t>
                  </w:r>
                </w:p>
              </w:tc>
            </w:tr>
            <w:tr w:rsidR="008C3E40" w:rsidRPr="008C3E40" w14:paraId="6C491EA8" w14:textId="77777777" w:rsidTr="00C263D5">
              <w:trPr>
                <w:trHeight w:val="315"/>
              </w:trPr>
              <w:tc>
                <w:tcPr>
                  <w:tcW w:w="4136" w:type="dxa"/>
                  <w:hideMark/>
                </w:tcPr>
                <w:p w14:paraId="09D622DE"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I2C_setBitCount(I2CB_BASE, I2C_BITCOUNT_8);</w:t>
                  </w:r>
                </w:p>
              </w:tc>
              <w:tc>
                <w:tcPr>
                  <w:tcW w:w="3259" w:type="dxa"/>
                  <w:hideMark/>
                </w:tcPr>
                <w:p w14:paraId="77045B43"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Veri genişliğini 8 bit olarak ayarlar.</w:t>
                  </w:r>
                </w:p>
              </w:tc>
              <w:tc>
                <w:tcPr>
                  <w:tcW w:w="1767" w:type="dxa"/>
                  <w:hideMark/>
                </w:tcPr>
                <w:p w14:paraId="7D2E1784"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I2CMDR içindeki bit count alanı</w:t>
                  </w:r>
                </w:p>
              </w:tc>
            </w:tr>
            <w:tr w:rsidR="008C3E40" w:rsidRPr="008C3E40" w14:paraId="120F5A50" w14:textId="77777777" w:rsidTr="00C263D5">
              <w:trPr>
                <w:trHeight w:val="315"/>
              </w:trPr>
              <w:tc>
                <w:tcPr>
                  <w:tcW w:w="4136" w:type="dxa"/>
                  <w:hideMark/>
                </w:tcPr>
                <w:p w14:paraId="4C2A0F0A"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lastRenderedPageBreak/>
                    <w:t>I2C_setAddressMode(I2CB_BASE, I2C_ADDR_MODE_7BITS);</w:t>
                  </w:r>
                </w:p>
              </w:tc>
              <w:tc>
                <w:tcPr>
                  <w:tcW w:w="3259" w:type="dxa"/>
                  <w:hideMark/>
                </w:tcPr>
                <w:p w14:paraId="048FBDCA"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7 bit adresleme modunu seçer.</w:t>
                  </w:r>
                </w:p>
              </w:tc>
              <w:tc>
                <w:tcPr>
                  <w:tcW w:w="1767" w:type="dxa"/>
                  <w:hideMark/>
                </w:tcPr>
                <w:p w14:paraId="1970A8FB"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 adresleme kontrol alanı</w:t>
                  </w:r>
                </w:p>
              </w:tc>
            </w:tr>
            <w:tr w:rsidR="008C3E40" w:rsidRPr="008C3E40" w14:paraId="5EFD11A8" w14:textId="77777777" w:rsidTr="00C263D5">
              <w:trPr>
                <w:trHeight w:val="315"/>
              </w:trPr>
              <w:tc>
                <w:tcPr>
                  <w:tcW w:w="4136" w:type="dxa"/>
                  <w:hideMark/>
                </w:tcPr>
                <w:p w14:paraId="72085A38"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I2C_enableFIFO(I2CB_BASE);</w:t>
                  </w:r>
                </w:p>
              </w:tc>
              <w:tc>
                <w:tcPr>
                  <w:tcW w:w="3259" w:type="dxa"/>
                  <w:hideMark/>
                </w:tcPr>
                <w:p w14:paraId="457A0829"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FIFO yapısını etkinleştirir.</w:t>
                  </w:r>
                </w:p>
              </w:tc>
              <w:tc>
                <w:tcPr>
                  <w:tcW w:w="1767" w:type="dxa"/>
                  <w:hideMark/>
                </w:tcPr>
                <w:p w14:paraId="7597E36F"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I2CFFTX, I2CFFRX</w:t>
                  </w:r>
                </w:p>
              </w:tc>
            </w:tr>
            <w:tr w:rsidR="008C3E40" w:rsidRPr="008C3E40" w14:paraId="6D3BC192" w14:textId="77777777" w:rsidTr="00C263D5">
              <w:trPr>
                <w:trHeight w:val="315"/>
              </w:trPr>
              <w:tc>
                <w:tcPr>
                  <w:tcW w:w="4136" w:type="dxa"/>
                  <w:hideMark/>
                </w:tcPr>
                <w:p w14:paraId="2D9B4F72" w14:textId="77777777" w:rsidR="008C3E40" w:rsidRPr="008C3E40" w:rsidRDefault="008C3E40" w:rsidP="008C3E40">
                  <w:pPr>
                    <w:spacing w:after="0" w:line="240" w:lineRule="auto"/>
                    <w:jc w:val="center"/>
                    <w:rPr>
                      <w:rFonts w:asciiTheme="minorHAnsi" w:eastAsia="Times New Roman" w:hAnsiTheme="minorHAnsi" w:cstheme="minorHAnsi"/>
                      <w:b/>
                      <w:bCs/>
                      <w:color w:val="1F497D" w:themeColor="text2"/>
                      <w:sz w:val="18"/>
                      <w:szCs w:val="18"/>
                      <w:lang w:eastAsia="tr-TR"/>
                    </w:rPr>
                  </w:pPr>
                  <w:r w:rsidRPr="008C3E40">
                    <w:rPr>
                      <w:rFonts w:asciiTheme="minorHAnsi" w:eastAsia="Times New Roman" w:hAnsiTheme="minorHAnsi" w:cstheme="minorHAnsi"/>
                      <w:b/>
                      <w:bCs/>
                      <w:color w:val="1F497D" w:themeColor="text2"/>
                      <w:sz w:val="18"/>
                      <w:szCs w:val="18"/>
                      <w:lang w:eastAsia="tr-TR"/>
                    </w:rPr>
                    <w:t>I2C_enableModule(I2CB_BASE);</w:t>
                  </w:r>
                </w:p>
              </w:tc>
              <w:tc>
                <w:tcPr>
                  <w:tcW w:w="3259" w:type="dxa"/>
                  <w:hideMark/>
                </w:tcPr>
                <w:p w14:paraId="3A439418"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 modülünü aktif hale getirir.</w:t>
                  </w:r>
                </w:p>
              </w:tc>
              <w:tc>
                <w:tcPr>
                  <w:tcW w:w="1767" w:type="dxa"/>
                  <w:hideMark/>
                </w:tcPr>
                <w:p w14:paraId="4D9521BA" w14:textId="77777777" w:rsidR="008C3E40" w:rsidRPr="008C3E40" w:rsidRDefault="008C3E40" w:rsidP="008C3E40">
                  <w:pPr>
                    <w:spacing w:after="0" w:line="240" w:lineRule="auto"/>
                    <w:jc w:val="center"/>
                    <w:rPr>
                      <w:rFonts w:asciiTheme="minorHAnsi" w:eastAsia="Times New Roman" w:hAnsiTheme="minorHAnsi" w:cstheme="minorHAnsi"/>
                      <w:b/>
                      <w:bCs/>
                      <w:sz w:val="18"/>
                      <w:szCs w:val="18"/>
                      <w:lang w:eastAsia="tr-TR"/>
                    </w:rPr>
                  </w:pPr>
                  <w:r w:rsidRPr="008C3E40">
                    <w:rPr>
                      <w:rFonts w:asciiTheme="minorHAnsi" w:eastAsia="Times New Roman" w:hAnsiTheme="minorHAnsi" w:cstheme="minorHAnsi"/>
                      <w:b/>
                      <w:bCs/>
                      <w:sz w:val="18"/>
                      <w:szCs w:val="18"/>
                      <w:lang w:eastAsia="tr-TR"/>
                    </w:rPr>
                    <w:t>I2CMDR</w:t>
                  </w:r>
                </w:p>
              </w:tc>
            </w:tr>
          </w:tbl>
          <w:p w14:paraId="36F92BC5" w14:textId="77777777" w:rsidR="008A6113" w:rsidRDefault="008A6113" w:rsidP="00BF1756">
            <w:pPr>
              <w:rPr>
                <w:rFonts w:asciiTheme="majorHAnsi" w:hAnsiTheme="majorHAnsi"/>
                <w:b/>
                <w:u w:val="single"/>
              </w:rPr>
            </w:pPr>
          </w:p>
          <w:p w14:paraId="1E367339" w14:textId="23315791" w:rsidR="00F36B09" w:rsidRDefault="00F36B09" w:rsidP="00BF1756">
            <w:pPr>
              <w:rPr>
                <w:rFonts w:asciiTheme="majorHAnsi" w:hAnsiTheme="majorHAnsi"/>
                <w:b/>
                <w:u w:val="single"/>
              </w:rPr>
            </w:pPr>
            <w:r w:rsidRPr="00F36B09">
              <w:rPr>
                <w:rFonts w:asciiTheme="majorHAnsi" w:hAnsiTheme="majorHAnsi"/>
                <w:b/>
                <w:u w:val="single"/>
              </w:rPr>
              <w:t>While Döngüsü</w:t>
            </w:r>
          </w:p>
          <w:tbl>
            <w:tblPr>
              <w:tblStyle w:val="TableGrid"/>
              <w:tblW w:w="9164" w:type="dxa"/>
              <w:tblLook w:val="04A0" w:firstRow="1" w:lastRow="0" w:firstColumn="1" w:lastColumn="0" w:noHBand="0" w:noVBand="1"/>
            </w:tblPr>
            <w:tblGrid>
              <w:gridCol w:w="4322"/>
              <w:gridCol w:w="2682"/>
              <w:gridCol w:w="2160"/>
            </w:tblGrid>
            <w:tr w:rsidR="00F36B09" w:rsidRPr="00F36B09" w14:paraId="58147370" w14:textId="77777777" w:rsidTr="00F36B09">
              <w:trPr>
                <w:trHeight w:val="702"/>
              </w:trPr>
              <w:tc>
                <w:tcPr>
                  <w:tcW w:w="4322" w:type="dxa"/>
                  <w:hideMark/>
                </w:tcPr>
                <w:p w14:paraId="72BC2ACF" w14:textId="77777777" w:rsidR="00F36B09" w:rsidRPr="00F36B09" w:rsidRDefault="00F36B09" w:rsidP="00F36B09">
                  <w:pPr>
                    <w:spacing w:after="0" w:line="240" w:lineRule="auto"/>
                    <w:jc w:val="center"/>
                    <w:rPr>
                      <w:rFonts w:asciiTheme="minorHAnsi" w:eastAsia="Times New Roman" w:hAnsiTheme="minorHAnsi" w:cstheme="minorHAnsi"/>
                      <w:b/>
                      <w:bCs/>
                      <w:sz w:val="20"/>
                      <w:szCs w:val="20"/>
                      <w:u w:val="single"/>
                      <w:lang w:eastAsia="tr-TR"/>
                    </w:rPr>
                  </w:pPr>
                  <w:r w:rsidRPr="00F36B09">
                    <w:rPr>
                      <w:rFonts w:asciiTheme="minorHAnsi" w:eastAsia="Times New Roman" w:hAnsiTheme="minorHAnsi" w:cstheme="minorHAnsi"/>
                      <w:b/>
                      <w:bCs/>
                      <w:sz w:val="20"/>
                      <w:szCs w:val="20"/>
                      <w:u w:val="single"/>
                      <w:lang w:eastAsia="tr-TR"/>
                    </w:rPr>
                    <w:t>Kod Satırı</w:t>
                  </w:r>
                </w:p>
              </w:tc>
              <w:tc>
                <w:tcPr>
                  <w:tcW w:w="0" w:type="auto"/>
                  <w:hideMark/>
                </w:tcPr>
                <w:p w14:paraId="37C335CB" w14:textId="77777777" w:rsidR="00F36B09" w:rsidRPr="00F36B09" w:rsidRDefault="00F36B09" w:rsidP="00F36B09">
                  <w:pPr>
                    <w:spacing w:after="0" w:line="240" w:lineRule="auto"/>
                    <w:jc w:val="center"/>
                    <w:rPr>
                      <w:rFonts w:asciiTheme="minorHAnsi" w:eastAsia="Times New Roman" w:hAnsiTheme="minorHAnsi" w:cstheme="minorHAnsi"/>
                      <w:b/>
                      <w:bCs/>
                      <w:sz w:val="20"/>
                      <w:szCs w:val="20"/>
                      <w:u w:val="single"/>
                      <w:lang w:eastAsia="tr-TR"/>
                    </w:rPr>
                  </w:pPr>
                  <w:r w:rsidRPr="00F36B09">
                    <w:rPr>
                      <w:rFonts w:asciiTheme="minorHAnsi" w:eastAsia="Times New Roman" w:hAnsiTheme="minorHAnsi" w:cstheme="minorHAnsi"/>
                      <w:b/>
                      <w:bCs/>
                      <w:sz w:val="20"/>
                      <w:szCs w:val="20"/>
                      <w:u w:val="single"/>
                      <w:lang w:eastAsia="tr-TR"/>
                    </w:rPr>
                    <w:t>Ne İşe Yarar?</w:t>
                  </w:r>
                </w:p>
              </w:tc>
              <w:tc>
                <w:tcPr>
                  <w:tcW w:w="0" w:type="auto"/>
                  <w:hideMark/>
                </w:tcPr>
                <w:p w14:paraId="56F38A7B" w14:textId="6A9327E8" w:rsidR="00F36B09" w:rsidRPr="00F36B09" w:rsidRDefault="00C263D5" w:rsidP="00F36B09">
                  <w:pPr>
                    <w:spacing w:after="0" w:line="240" w:lineRule="auto"/>
                    <w:jc w:val="center"/>
                    <w:rPr>
                      <w:rFonts w:asciiTheme="minorHAnsi" w:eastAsia="Times New Roman" w:hAnsiTheme="minorHAnsi" w:cstheme="minorHAnsi"/>
                      <w:b/>
                      <w:bCs/>
                      <w:sz w:val="20"/>
                      <w:szCs w:val="20"/>
                      <w:u w:val="single"/>
                      <w:lang w:eastAsia="tr-TR"/>
                    </w:rPr>
                  </w:pPr>
                  <w:r w:rsidRPr="00C263D5">
                    <w:rPr>
                      <w:rFonts w:asciiTheme="minorHAnsi" w:eastAsia="Times New Roman" w:hAnsiTheme="minorHAnsi" w:cstheme="minorHAnsi"/>
                      <w:b/>
                      <w:bCs/>
                      <w:sz w:val="20"/>
                      <w:szCs w:val="20"/>
                      <w:u w:val="single"/>
                      <w:lang w:eastAsia="tr-TR"/>
                    </w:rPr>
                    <w:t>Etkilediği Register / Alt Birim</w:t>
                  </w:r>
                </w:p>
              </w:tc>
            </w:tr>
            <w:tr w:rsidR="00F36B09" w:rsidRPr="00F36B09" w14:paraId="785F4D14" w14:textId="77777777" w:rsidTr="00F36B09">
              <w:trPr>
                <w:trHeight w:val="420"/>
              </w:trPr>
              <w:tc>
                <w:tcPr>
                  <w:tcW w:w="4322" w:type="dxa"/>
                  <w:hideMark/>
                </w:tcPr>
                <w:p w14:paraId="239D78F7"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I2C_setSlaveAddress(I2CB_BASE, 0x48);</w:t>
                  </w:r>
                </w:p>
              </w:tc>
              <w:tc>
                <w:tcPr>
                  <w:tcW w:w="0" w:type="auto"/>
                  <w:hideMark/>
                </w:tcPr>
                <w:p w14:paraId="6B365712"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Haberleşilecek sensörün adresini belirler.</w:t>
                  </w:r>
                </w:p>
              </w:tc>
              <w:tc>
                <w:tcPr>
                  <w:tcW w:w="0" w:type="auto"/>
                  <w:hideMark/>
                </w:tcPr>
                <w:p w14:paraId="1EB74859"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I2CSAR</w:t>
                  </w:r>
                </w:p>
              </w:tc>
            </w:tr>
            <w:tr w:rsidR="00F36B09" w:rsidRPr="00F36B09" w14:paraId="05B82FAA" w14:textId="77777777" w:rsidTr="00F36B09">
              <w:trPr>
                <w:trHeight w:val="420"/>
              </w:trPr>
              <w:tc>
                <w:tcPr>
                  <w:tcW w:w="4322" w:type="dxa"/>
                  <w:hideMark/>
                </w:tcPr>
                <w:p w14:paraId="7B1CF4CB"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I2C_setConfig(I2CB_BASE, I2C_MASTER_RECEIVE_MODE);</w:t>
                  </w:r>
                </w:p>
              </w:tc>
              <w:tc>
                <w:tcPr>
                  <w:tcW w:w="0" w:type="auto"/>
                  <w:hideMark/>
                </w:tcPr>
                <w:p w14:paraId="20E80BC1"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Modülü master receive moduna geçirir.</w:t>
                  </w:r>
                </w:p>
              </w:tc>
              <w:tc>
                <w:tcPr>
                  <w:tcW w:w="0" w:type="auto"/>
                  <w:hideMark/>
                </w:tcPr>
                <w:p w14:paraId="0117B645"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I2CMDR</w:t>
                  </w:r>
                </w:p>
              </w:tc>
            </w:tr>
            <w:tr w:rsidR="00F36B09" w:rsidRPr="00F36B09" w14:paraId="50E158D6" w14:textId="77777777" w:rsidTr="00F36B09">
              <w:trPr>
                <w:trHeight w:val="420"/>
              </w:trPr>
              <w:tc>
                <w:tcPr>
                  <w:tcW w:w="4322" w:type="dxa"/>
                  <w:hideMark/>
                </w:tcPr>
                <w:p w14:paraId="060941E3"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I2C_setDataCount(I2CB_BASE, 2);</w:t>
                  </w:r>
                </w:p>
              </w:tc>
              <w:tc>
                <w:tcPr>
                  <w:tcW w:w="0" w:type="auto"/>
                  <w:hideMark/>
                </w:tcPr>
                <w:p w14:paraId="2C31581F"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Sensörden 2 byte veri okunacağını belirtir.</w:t>
                  </w:r>
                </w:p>
              </w:tc>
              <w:tc>
                <w:tcPr>
                  <w:tcW w:w="0" w:type="auto"/>
                  <w:hideMark/>
                </w:tcPr>
                <w:p w14:paraId="7C0E6FBB"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I2CCNT</w:t>
                  </w:r>
                </w:p>
              </w:tc>
            </w:tr>
            <w:tr w:rsidR="00F36B09" w:rsidRPr="00F36B09" w14:paraId="39D9DBBE" w14:textId="77777777" w:rsidTr="00F36B09">
              <w:trPr>
                <w:trHeight w:val="420"/>
              </w:trPr>
              <w:tc>
                <w:tcPr>
                  <w:tcW w:w="4322" w:type="dxa"/>
                  <w:hideMark/>
                </w:tcPr>
                <w:p w14:paraId="7019E5FA"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I2C_sendStartCondition(I2CB_BASE);</w:t>
                  </w:r>
                </w:p>
              </w:tc>
              <w:tc>
                <w:tcPr>
                  <w:tcW w:w="0" w:type="auto"/>
                  <w:hideMark/>
                </w:tcPr>
                <w:p w14:paraId="2C9898AA"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 haberleşmesini başlatmak için START condition üretir.</w:t>
                  </w:r>
                </w:p>
              </w:tc>
              <w:tc>
                <w:tcPr>
                  <w:tcW w:w="0" w:type="auto"/>
                  <w:hideMark/>
                </w:tcPr>
                <w:p w14:paraId="75257A83"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I2CMDR.STT</w:t>
                  </w:r>
                </w:p>
              </w:tc>
            </w:tr>
            <w:tr w:rsidR="00F36B09" w:rsidRPr="00F36B09" w14:paraId="2A2B5721" w14:textId="77777777" w:rsidTr="00F36B09">
              <w:trPr>
                <w:trHeight w:val="420"/>
              </w:trPr>
              <w:tc>
                <w:tcPr>
                  <w:tcW w:w="4322" w:type="dxa"/>
                  <w:hideMark/>
                </w:tcPr>
                <w:p w14:paraId="75CFCE14"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while(I2C_getRxFIFOStatus(I2CB_BASE) &lt; 2)</w:t>
                  </w:r>
                </w:p>
              </w:tc>
              <w:tc>
                <w:tcPr>
                  <w:tcW w:w="0" w:type="auto"/>
                  <w:hideMark/>
                </w:tcPr>
                <w:p w14:paraId="4021CF19"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RX FIFO içinde 2 byte veri oluşana kadar bekler.</w:t>
                  </w:r>
                </w:p>
              </w:tc>
              <w:tc>
                <w:tcPr>
                  <w:tcW w:w="0" w:type="auto"/>
                  <w:hideMark/>
                </w:tcPr>
                <w:p w14:paraId="6C12D968"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I2CFFRX durum bilgisi</w:t>
                  </w:r>
                </w:p>
              </w:tc>
            </w:tr>
            <w:tr w:rsidR="00F36B09" w:rsidRPr="00F36B09" w14:paraId="2D6BBA0E" w14:textId="77777777" w:rsidTr="00F36B09">
              <w:trPr>
                <w:trHeight w:val="420"/>
              </w:trPr>
              <w:tc>
                <w:tcPr>
                  <w:tcW w:w="4322" w:type="dxa"/>
                  <w:hideMark/>
                </w:tcPr>
                <w:p w14:paraId="5BBA59A3"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ustByte = I2C_getData(I2CB_BASE);</w:t>
                  </w:r>
                </w:p>
              </w:tc>
              <w:tc>
                <w:tcPr>
                  <w:tcW w:w="0" w:type="auto"/>
                  <w:hideMark/>
                </w:tcPr>
                <w:p w14:paraId="170DBB74"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Gelen ilk byte’ı okur.</w:t>
                  </w:r>
                </w:p>
              </w:tc>
              <w:tc>
                <w:tcPr>
                  <w:tcW w:w="0" w:type="auto"/>
                  <w:hideMark/>
                </w:tcPr>
                <w:p w14:paraId="04DD0093"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I2CDRR</w:t>
                  </w:r>
                </w:p>
              </w:tc>
            </w:tr>
            <w:tr w:rsidR="00F36B09" w:rsidRPr="00F36B09" w14:paraId="292F2655" w14:textId="77777777" w:rsidTr="00F36B09">
              <w:trPr>
                <w:trHeight w:val="420"/>
              </w:trPr>
              <w:tc>
                <w:tcPr>
                  <w:tcW w:w="4322" w:type="dxa"/>
                  <w:hideMark/>
                </w:tcPr>
                <w:p w14:paraId="18CD7CD6"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altByte = I2C_getData(I2CB_BASE);</w:t>
                  </w:r>
                </w:p>
              </w:tc>
              <w:tc>
                <w:tcPr>
                  <w:tcW w:w="0" w:type="auto"/>
                  <w:hideMark/>
                </w:tcPr>
                <w:p w14:paraId="1E3AD7BD"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Gelen ikinci byte’ı okur.</w:t>
                  </w:r>
                </w:p>
              </w:tc>
              <w:tc>
                <w:tcPr>
                  <w:tcW w:w="0" w:type="auto"/>
                  <w:hideMark/>
                </w:tcPr>
                <w:p w14:paraId="527337C3"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I2CDRR</w:t>
                  </w:r>
                </w:p>
              </w:tc>
            </w:tr>
            <w:tr w:rsidR="00F36B09" w:rsidRPr="00F36B09" w14:paraId="0FB44428" w14:textId="77777777" w:rsidTr="00F36B09">
              <w:trPr>
                <w:trHeight w:val="420"/>
              </w:trPr>
              <w:tc>
                <w:tcPr>
                  <w:tcW w:w="4322" w:type="dxa"/>
                  <w:hideMark/>
                </w:tcPr>
                <w:p w14:paraId="10DE5356"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I2C_sendStopCondition(I2CB_BASE);</w:t>
                  </w:r>
                </w:p>
              </w:tc>
              <w:tc>
                <w:tcPr>
                  <w:tcW w:w="0" w:type="auto"/>
                  <w:hideMark/>
                </w:tcPr>
                <w:p w14:paraId="3C2FD685"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Haberleşmeyi sonlandırmak için STOP condition üretir.</w:t>
                  </w:r>
                </w:p>
              </w:tc>
              <w:tc>
                <w:tcPr>
                  <w:tcW w:w="0" w:type="auto"/>
                  <w:hideMark/>
                </w:tcPr>
                <w:p w14:paraId="124582B6"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I2CMDR.STP</w:t>
                  </w:r>
                </w:p>
              </w:tc>
            </w:tr>
            <w:tr w:rsidR="00F36B09" w:rsidRPr="00F36B09" w14:paraId="2B0E8257" w14:textId="77777777" w:rsidTr="00F36B09">
              <w:trPr>
                <w:trHeight w:val="420"/>
              </w:trPr>
              <w:tc>
                <w:tcPr>
                  <w:tcW w:w="4322" w:type="dxa"/>
                  <w:hideMark/>
                </w:tcPr>
                <w:p w14:paraId="11A76350" w14:textId="22BA7548"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hamVeri = (ustByte &lt;&lt; 8)</w:t>
                  </w:r>
                  <w:r w:rsidRPr="008A6113">
                    <w:rPr>
                      <w:rFonts w:asciiTheme="minorHAnsi" w:eastAsia="Times New Roman" w:hAnsiTheme="minorHAnsi" w:cstheme="minorHAnsi"/>
                      <w:b/>
                      <w:bCs/>
                      <w:color w:val="1F497D" w:themeColor="text2"/>
                      <w:sz w:val="18"/>
                      <w:szCs w:val="18"/>
                      <w:lang w:eastAsia="tr-TR"/>
                    </w:rPr>
                    <w:t xml:space="preserve"> | altByte</w:t>
                  </w:r>
                </w:p>
              </w:tc>
              <w:tc>
                <w:tcPr>
                  <w:tcW w:w="0" w:type="auto"/>
                  <w:hideMark/>
                </w:tcPr>
                <w:p w14:paraId="5D99B10D" w14:textId="50FF2306"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8A6113">
                    <w:rPr>
                      <w:rFonts w:asciiTheme="minorHAnsi" w:eastAsia="Times New Roman" w:hAnsiTheme="minorHAnsi" w:cstheme="minorHAnsi"/>
                      <w:b/>
                      <w:bCs/>
                      <w:sz w:val="18"/>
                      <w:szCs w:val="18"/>
                      <w:lang w:eastAsia="tr-TR"/>
                    </w:rPr>
                    <w:t>Üst Byte’ı 8 birim sola kaydırarak alt byte’ı ekler.</w:t>
                  </w:r>
                </w:p>
              </w:tc>
              <w:tc>
                <w:tcPr>
                  <w:tcW w:w="0" w:type="auto"/>
                  <w:hideMark/>
                </w:tcPr>
                <w:p w14:paraId="6C2A3A61"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Üst ve alt byte’ı birleştirerek 16 bit ham veriyi oluşturur.</w:t>
                  </w:r>
                </w:p>
              </w:tc>
            </w:tr>
            <w:tr w:rsidR="00F36B09" w:rsidRPr="00F36B09" w14:paraId="39F1D857" w14:textId="77777777" w:rsidTr="00F36B09">
              <w:trPr>
                <w:trHeight w:val="420"/>
              </w:trPr>
              <w:tc>
                <w:tcPr>
                  <w:tcW w:w="4322" w:type="dxa"/>
                  <w:hideMark/>
                </w:tcPr>
                <w:p w14:paraId="66AB1B0B"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anlikSicaklik = (float)((int16_t)hamVeri) * 0.0078125;</w:t>
                  </w:r>
                </w:p>
              </w:tc>
              <w:tc>
                <w:tcPr>
                  <w:tcW w:w="0" w:type="auto"/>
                  <w:hideMark/>
                </w:tcPr>
                <w:p w14:paraId="4D397439"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Ham veriyi signed 16 bit olarak yorumlayıp sıcaklık değerine dönüştürür.</w:t>
                  </w:r>
                </w:p>
              </w:tc>
              <w:tc>
                <w:tcPr>
                  <w:tcW w:w="0" w:type="auto"/>
                  <w:hideMark/>
                </w:tcPr>
                <w:p w14:paraId="302C98E2"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RAM üzerinde yazılım işlemi</w:t>
                  </w:r>
                </w:p>
              </w:tc>
            </w:tr>
            <w:tr w:rsidR="00F36B09" w:rsidRPr="00F36B09" w14:paraId="2D1A284B" w14:textId="77777777" w:rsidTr="00F36B09">
              <w:trPr>
                <w:trHeight w:val="420"/>
              </w:trPr>
              <w:tc>
                <w:tcPr>
                  <w:tcW w:w="4322" w:type="dxa"/>
                  <w:hideMark/>
                </w:tcPr>
                <w:p w14:paraId="0E054AF7"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loopSayaci++;</w:t>
                  </w:r>
                </w:p>
              </w:tc>
              <w:tc>
                <w:tcPr>
                  <w:tcW w:w="0" w:type="auto"/>
                  <w:hideMark/>
                </w:tcPr>
                <w:p w14:paraId="7C199289"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Döngünün çalıştığını göstermek için sayaç artırılır.</w:t>
                  </w:r>
                </w:p>
              </w:tc>
              <w:tc>
                <w:tcPr>
                  <w:tcW w:w="0" w:type="auto"/>
                  <w:hideMark/>
                </w:tcPr>
                <w:p w14:paraId="7C17836F"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RAM üzerinde yazılım işlemi</w:t>
                  </w:r>
                </w:p>
              </w:tc>
            </w:tr>
            <w:tr w:rsidR="00F36B09" w:rsidRPr="00F36B09" w14:paraId="2B0D683F" w14:textId="77777777" w:rsidTr="00F36B09">
              <w:trPr>
                <w:trHeight w:val="420"/>
              </w:trPr>
              <w:tc>
                <w:tcPr>
                  <w:tcW w:w="4322" w:type="dxa"/>
                  <w:hideMark/>
                </w:tcPr>
                <w:p w14:paraId="5F889F88" w14:textId="77777777" w:rsidR="00F36B09" w:rsidRPr="00F36B09" w:rsidRDefault="00F36B09" w:rsidP="00F36B09">
                  <w:pPr>
                    <w:spacing w:after="0" w:line="240" w:lineRule="auto"/>
                    <w:jc w:val="center"/>
                    <w:rPr>
                      <w:rFonts w:asciiTheme="minorHAnsi" w:eastAsia="Times New Roman" w:hAnsiTheme="minorHAnsi" w:cstheme="minorHAnsi"/>
                      <w:b/>
                      <w:bCs/>
                      <w:color w:val="1F497D" w:themeColor="text2"/>
                      <w:sz w:val="18"/>
                      <w:szCs w:val="18"/>
                      <w:lang w:eastAsia="tr-TR"/>
                    </w:rPr>
                  </w:pPr>
                  <w:r w:rsidRPr="00F36B09">
                    <w:rPr>
                      <w:rFonts w:asciiTheme="minorHAnsi" w:eastAsia="Times New Roman" w:hAnsiTheme="minorHAnsi" w:cstheme="minorHAnsi"/>
                      <w:b/>
                      <w:bCs/>
                      <w:color w:val="1F497D" w:themeColor="text2"/>
                      <w:sz w:val="18"/>
                      <w:szCs w:val="18"/>
                      <w:lang w:eastAsia="tr-TR"/>
                    </w:rPr>
                    <w:t>DEVICE_DELAY_US(100000);</w:t>
                  </w:r>
                </w:p>
              </w:tc>
              <w:tc>
                <w:tcPr>
                  <w:tcW w:w="0" w:type="auto"/>
                  <w:hideMark/>
                </w:tcPr>
                <w:p w14:paraId="175D1FE4"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Okumalar arasına yaklaşık 100 ms gecikme ekler.</w:t>
                  </w:r>
                </w:p>
              </w:tc>
              <w:tc>
                <w:tcPr>
                  <w:tcW w:w="0" w:type="auto"/>
                  <w:hideMark/>
                </w:tcPr>
                <w:p w14:paraId="6A9D2E7D" w14:textId="77777777" w:rsidR="00F36B09" w:rsidRPr="00F36B09" w:rsidRDefault="00F36B09" w:rsidP="00F36B09">
                  <w:pPr>
                    <w:spacing w:after="0" w:line="240" w:lineRule="auto"/>
                    <w:jc w:val="center"/>
                    <w:rPr>
                      <w:rFonts w:asciiTheme="minorHAnsi" w:eastAsia="Times New Roman" w:hAnsiTheme="minorHAnsi" w:cstheme="minorHAnsi"/>
                      <w:b/>
                      <w:bCs/>
                      <w:sz w:val="18"/>
                      <w:szCs w:val="18"/>
                      <w:lang w:eastAsia="tr-TR"/>
                    </w:rPr>
                  </w:pPr>
                  <w:r w:rsidRPr="00F36B09">
                    <w:rPr>
                      <w:rFonts w:asciiTheme="minorHAnsi" w:eastAsia="Times New Roman" w:hAnsiTheme="minorHAnsi" w:cstheme="minorHAnsi"/>
                      <w:b/>
                      <w:bCs/>
                      <w:sz w:val="18"/>
                      <w:szCs w:val="18"/>
                      <w:lang w:eastAsia="tr-TR"/>
                    </w:rPr>
                    <w:t>Sistem delay altyapısı</w:t>
                  </w:r>
                </w:p>
              </w:tc>
            </w:tr>
          </w:tbl>
          <w:p w14:paraId="4985FF28" w14:textId="77777777" w:rsidR="008A6113" w:rsidRDefault="008A6113" w:rsidP="00BF1756">
            <w:pPr>
              <w:rPr>
                <w:rFonts w:asciiTheme="majorHAnsi" w:hAnsiTheme="majorHAnsi"/>
                <w:bCs/>
              </w:rPr>
            </w:pPr>
          </w:p>
          <w:p w14:paraId="7783AE29" w14:textId="349A6C16" w:rsidR="008A6113" w:rsidRPr="008A6113" w:rsidRDefault="008A6113" w:rsidP="00BF1756">
            <w:pPr>
              <w:rPr>
                <w:rFonts w:asciiTheme="majorHAnsi" w:hAnsiTheme="majorHAnsi"/>
                <w:bCs/>
              </w:rPr>
            </w:pPr>
            <w:r w:rsidRPr="008A6113">
              <w:rPr>
                <w:rFonts w:asciiTheme="majorHAnsi" w:hAnsiTheme="majorHAnsi"/>
                <w:bCs/>
              </w:rPr>
              <w:t>Sonuç olarak bu hafta, TMP117 sıcaklık sensörü ile I2C haberleşmesinin kurulmasına yönelik temel gömülü yazılım çalışmaları tamamlanmış; sistem başlatma, pin konfigürasyonu, modül ayarları ve veri okuma akışı uygulama seviyesinde başarıyla gerçekleştirilmiştir. Elde edilen bu yapı, hem sensör verisinin güvenilir biçimde okunmasını sağlamış hem de ilerleyen haftalarda gerçekleştirilecek katmanlı sürücü mimarisi, hata yönetimi ve yazılım iyileştirme çalışmalarına temel oluşturmuştur.</w:t>
            </w:r>
          </w:p>
        </w:tc>
      </w:tr>
    </w:tbl>
    <w:p w14:paraId="283A2162" w14:textId="77777777" w:rsidR="00F40D70" w:rsidRPr="006A6D1B" w:rsidRDefault="00F40D70" w:rsidP="002B45C6">
      <w:pPr>
        <w:spacing w:after="0"/>
        <w:rPr>
          <w:rFonts w:asciiTheme="majorHAnsi" w:hAnsiTheme="majorHAnsi"/>
          <w:b/>
        </w:rPr>
      </w:pPr>
    </w:p>
    <w:tbl>
      <w:tblPr>
        <w:tblStyle w:val="TableGrid"/>
        <w:tblW w:w="5000" w:type="pct"/>
        <w:tblLook w:val="04A0" w:firstRow="1" w:lastRow="0" w:firstColumn="1" w:lastColumn="0" w:noHBand="0" w:noVBand="1"/>
      </w:tblPr>
      <w:tblGrid>
        <w:gridCol w:w="3131"/>
        <w:gridCol w:w="3131"/>
        <w:gridCol w:w="3132"/>
      </w:tblGrid>
      <w:tr w:rsidR="00F40D70" w:rsidRPr="006A6D1B" w14:paraId="3E635BA4" w14:textId="77777777" w:rsidTr="00BF1756">
        <w:tc>
          <w:tcPr>
            <w:tcW w:w="1666" w:type="pct"/>
            <w:vAlign w:val="center"/>
          </w:tcPr>
          <w:p w14:paraId="591F71AF" w14:textId="77777777" w:rsidR="00F40D70" w:rsidRPr="006A6D1B" w:rsidRDefault="00F40D70" w:rsidP="002B45C6">
            <w:pPr>
              <w:spacing w:after="0"/>
              <w:jc w:val="center"/>
              <w:rPr>
                <w:rFonts w:asciiTheme="majorHAnsi" w:hAnsiTheme="majorHAnsi"/>
                <w:b/>
                <w:sz w:val="24"/>
              </w:rPr>
            </w:pPr>
            <w:r w:rsidRPr="006A6D1B">
              <w:rPr>
                <w:rFonts w:asciiTheme="majorHAnsi" w:hAnsiTheme="majorHAnsi"/>
                <w:b/>
                <w:sz w:val="24"/>
              </w:rPr>
              <w:lastRenderedPageBreak/>
              <w:t>Aday Mühendisin İmzası</w:t>
            </w:r>
          </w:p>
        </w:tc>
        <w:tc>
          <w:tcPr>
            <w:tcW w:w="1666" w:type="pct"/>
            <w:vAlign w:val="center"/>
          </w:tcPr>
          <w:p w14:paraId="2659328C" w14:textId="77777777" w:rsidR="00F40D70" w:rsidRPr="006A6D1B" w:rsidRDefault="00F40D70" w:rsidP="002B45C6">
            <w:pPr>
              <w:spacing w:after="0"/>
              <w:jc w:val="center"/>
              <w:rPr>
                <w:rFonts w:asciiTheme="majorHAnsi" w:hAnsiTheme="majorHAnsi"/>
                <w:b/>
                <w:sz w:val="24"/>
              </w:rPr>
            </w:pPr>
            <w:r w:rsidRPr="006A6D1B">
              <w:rPr>
                <w:rFonts w:asciiTheme="majorHAnsi" w:hAnsiTheme="majorHAnsi"/>
                <w:b/>
                <w:sz w:val="24"/>
              </w:rPr>
              <w:t>UMDE Sorumlusu İmzası</w:t>
            </w:r>
          </w:p>
        </w:tc>
        <w:tc>
          <w:tcPr>
            <w:tcW w:w="1667" w:type="pct"/>
            <w:vAlign w:val="center"/>
          </w:tcPr>
          <w:p w14:paraId="46F4F4E2" w14:textId="77777777" w:rsidR="00F40D70" w:rsidRPr="006A6D1B" w:rsidRDefault="007623BF" w:rsidP="002B45C6">
            <w:pPr>
              <w:spacing w:after="0"/>
              <w:jc w:val="center"/>
              <w:rPr>
                <w:rFonts w:asciiTheme="majorHAnsi" w:hAnsiTheme="majorHAnsi"/>
                <w:b/>
                <w:sz w:val="24"/>
              </w:rPr>
            </w:pPr>
            <w:r w:rsidRPr="006A6D1B">
              <w:rPr>
                <w:rFonts w:asciiTheme="majorHAnsi" w:hAnsiTheme="majorHAnsi"/>
                <w:b/>
              </w:rPr>
              <w:t xml:space="preserve">Danışman Öğretim Üyesi/Görevlisi </w:t>
            </w:r>
            <w:r w:rsidR="00F40D70" w:rsidRPr="006A6D1B">
              <w:rPr>
                <w:rFonts w:asciiTheme="majorHAnsi" w:hAnsiTheme="majorHAnsi"/>
                <w:b/>
                <w:sz w:val="24"/>
              </w:rPr>
              <w:t>İmzası</w:t>
            </w:r>
          </w:p>
        </w:tc>
      </w:tr>
      <w:tr w:rsidR="00F40D70" w:rsidRPr="006A6D1B" w14:paraId="06BD233A" w14:textId="77777777" w:rsidTr="00BF1756">
        <w:tc>
          <w:tcPr>
            <w:tcW w:w="1666" w:type="pct"/>
            <w:vAlign w:val="center"/>
          </w:tcPr>
          <w:p w14:paraId="04BF7EBE" w14:textId="77777777" w:rsidR="00F40D70" w:rsidRPr="006A6D1B" w:rsidRDefault="00F40D70" w:rsidP="002B45C6">
            <w:pPr>
              <w:spacing w:after="0"/>
              <w:jc w:val="center"/>
              <w:rPr>
                <w:rFonts w:asciiTheme="majorHAnsi" w:hAnsiTheme="majorHAnsi"/>
                <w:b/>
              </w:rPr>
            </w:pPr>
          </w:p>
          <w:p w14:paraId="416E0289" w14:textId="77777777" w:rsidR="002B45C6" w:rsidRPr="006A6D1B" w:rsidRDefault="002B45C6" w:rsidP="002B45C6">
            <w:pPr>
              <w:spacing w:after="0"/>
              <w:jc w:val="center"/>
              <w:rPr>
                <w:rFonts w:asciiTheme="majorHAnsi" w:hAnsiTheme="majorHAnsi"/>
                <w:b/>
              </w:rPr>
            </w:pPr>
          </w:p>
          <w:p w14:paraId="34640E7F" w14:textId="77777777" w:rsidR="002B45C6" w:rsidRPr="006A6D1B" w:rsidRDefault="002B45C6" w:rsidP="002B45C6">
            <w:pPr>
              <w:spacing w:after="0"/>
              <w:jc w:val="center"/>
              <w:rPr>
                <w:rFonts w:asciiTheme="majorHAnsi" w:hAnsiTheme="majorHAnsi"/>
                <w:b/>
              </w:rPr>
            </w:pPr>
          </w:p>
        </w:tc>
        <w:tc>
          <w:tcPr>
            <w:tcW w:w="1666" w:type="pct"/>
            <w:vAlign w:val="center"/>
          </w:tcPr>
          <w:p w14:paraId="7D8CF7F9" w14:textId="77777777" w:rsidR="00F40D70" w:rsidRPr="006A6D1B" w:rsidRDefault="00F40D70" w:rsidP="002B45C6">
            <w:pPr>
              <w:spacing w:after="0"/>
              <w:jc w:val="center"/>
              <w:rPr>
                <w:rFonts w:asciiTheme="majorHAnsi" w:hAnsiTheme="majorHAnsi"/>
                <w:b/>
              </w:rPr>
            </w:pPr>
          </w:p>
          <w:p w14:paraId="2412037F" w14:textId="77777777" w:rsidR="00F40D70" w:rsidRPr="006A6D1B" w:rsidRDefault="00F40D70" w:rsidP="002B45C6">
            <w:pPr>
              <w:spacing w:after="0"/>
              <w:jc w:val="center"/>
              <w:rPr>
                <w:rFonts w:asciiTheme="majorHAnsi" w:hAnsiTheme="majorHAnsi"/>
                <w:b/>
              </w:rPr>
            </w:pPr>
          </w:p>
        </w:tc>
        <w:tc>
          <w:tcPr>
            <w:tcW w:w="1667" w:type="pct"/>
            <w:vAlign w:val="center"/>
          </w:tcPr>
          <w:p w14:paraId="621CD250" w14:textId="77777777" w:rsidR="00F40D70" w:rsidRPr="006A6D1B" w:rsidRDefault="00F40D70" w:rsidP="002B45C6">
            <w:pPr>
              <w:spacing w:after="0"/>
              <w:jc w:val="center"/>
              <w:rPr>
                <w:rFonts w:asciiTheme="majorHAnsi" w:hAnsiTheme="majorHAnsi"/>
                <w:b/>
              </w:rPr>
            </w:pPr>
          </w:p>
        </w:tc>
      </w:tr>
    </w:tbl>
    <w:p w14:paraId="20FD2B95" w14:textId="77777777" w:rsidR="00F40D70" w:rsidRPr="002B45C6" w:rsidRDefault="00F40D70" w:rsidP="002B45C6">
      <w:pPr>
        <w:rPr>
          <w:rFonts w:asciiTheme="majorHAnsi" w:hAnsiTheme="majorHAnsi" w:cs="Times New Roman"/>
          <w:sz w:val="24"/>
          <w:szCs w:val="24"/>
        </w:rPr>
      </w:pPr>
    </w:p>
    <w:sectPr w:rsidR="00F40D70" w:rsidRPr="002B45C6" w:rsidSect="00942E9D">
      <w:headerReference w:type="default" r:id="rId8"/>
      <w:footerReference w:type="default" r:id="rId9"/>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DFBC8" w14:textId="77777777" w:rsidR="00C664F6" w:rsidRPr="006A6D1B" w:rsidRDefault="00C664F6" w:rsidP="002F26D0">
      <w:pPr>
        <w:spacing w:after="0" w:line="240" w:lineRule="auto"/>
      </w:pPr>
      <w:r w:rsidRPr="006A6D1B">
        <w:separator/>
      </w:r>
    </w:p>
  </w:endnote>
  <w:endnote w:type="continuationSeparator" w:id="0">
    <w:p w14:paraId="773532B9" w14:textId="77777777" w:rsidR="00C664F6" w:rsidRPr="006A6D1B" w:rsidRDefault="00C664F6" w:rsidP="002F26D0">
      <w:pPr>
        <w:spacing w:after="0" w:line="240" w:lineRule="auto"/>
      </w:pPr>
      <w:r w:rsidRPr="006A6D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Pr="006A6D1B" w:rsidRDefault="00387C51">
    <w:pPr>
      <w:pStyle w:val="Footer"/>
      <w:jc w:val="right"/>
    </w:pPr>
    <w:r w:rsidRPr="006A6D1B">
      <w:fldChar w:fldCharType="begin"/>
    </w:r>
    <w:r w:rsidR="00E020DE" w:rsidRPr="006A6D1B">
      <w:instrText>PAGE   \* MERGEFORMAT</w:instrText>
    </w:r>
    <w:r w:rsidRPr="006A6D1B">
      <w:fldChar w:fldCharType="separate"/>
    </w:r>
    <w:r w:rsidR="002B45C6" w:rsidRPr="006A6D1B">
      <w:t>1</w:t>
    </w:r>
    <w:r w:rsidRPr="006A6D1B">
      <w:fldChar w:fldCharType="end"/>
    </w:r>
  </w:p>
  <w:p w14:paraId="607B582A" w14:textId="77777777" w:rsidR="00194645" w:rsidRPr="006A6D1B"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194E5" w14:textId="77777777" w:rsidR="00C664F6" w:rsidRPr="006A6D1B" w:rsidRDefault="00C664F6" w:rsidP="002F26D0">
      <w:pPr>
        <w:spacing w:after="0" w:line="240" w:lineRule="auto"/>
      </w:pPr>
      <w:r w:rsidRPr="006A6D1B">
        <w:separator/>
      </w:r>
    </w:p>
  </w:footnote>
  <w:footnote w:type="continuationSeparator" w:id="0">
    <w:p w14:paraId="6F553C3C" w14:textId="77777777" w:rsidR="00C664F6" w:rsidRPr="006A6D1B" w:rsidRDefault="00C664F6" w:rsidP="002F26D0">
      <w:pPr>
        <w:spacing w:after="0" w:line="240" w:lineRule="auto"/>
      </w:pPr>
      <w:r w:rsidRPr="006A6D1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6A6D1B" w14:paraId="2C5598D6" w14:textId="77777777" w:rsidTr="00B411ED">
      <w:trPr>
        <w:trHeight w:val="1546"/>
        <w:jc w:val="center"/>
      </w:trPr>
      <w:tc>
        <w:tcPr>
          <w:tcW w:w="738" w:type="pct"/>
        </w:tcPr>
        <w:p w14:paraId="59A5E292" w14:textId="77777777" w:rsidR="00B411ED" w:rsidRPr="006A6D1B" w:rsidRDefault="00B411ED" w:rsidP="00414B7A">
          <w:pPr>
            <w:spacing w:after="0" w:line="240" w:lineRule="auto"/>
            <w:jc w:val="center"/>
            <w:rPr>
              <w:rFonts w:ascii="Arial" w:hAnsi="Arial" w:cs="Arial"/>
              <w:b/>
              <w:bCs/>
              <w:sz w:val="20"/>
              <w:szCs w:val="20"/>
            </w:rPr>
          </w:pPr>
          <w:r w:rsidRPr="006A6D1B">
            <w:rPr>
              <w:noProof/>
              <w:lang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Pr="006A6D1B" w:rsidRDefault="00B411ED" w:rsidP="00B411ED">
          <w:pPr>
            <w:spacing w:after="0" w:line="240" w:lineRule="auto"/>
            <w:jc w:val="center"/>
            <w:rPr>
              <w:rFonts w:ascii="Arial" w:hAnsi="Arial" w:cs="Arial"/>
              <w:b/>
              <w:bCs/>
              <w:sz w:val="24"/>
              <w:szCs w:val="24"/>
            </w:rPr>
          </w:pPr>
          <w:r w:rsidRPr="006A6D1B">
            <w:rPr>
              <w:rFonts w:ascii="Arial" w:hAnsi="Arial" w:cs="Arial"/>
              <w:b/>
              <w:bCs/>
              <w:sz w:val="24"/>
              <w:szCs w:val="24"/>
            </w:rPr>
            <w:t>T.C.</w:t>
          </w:r>
        </w:p>
        <w:p w14:paraId="1B0A04AD" w14:textId="77777777" w:rsidR="00B411ED" w:rsidRPr="006A6D1B" w:rsidRDefault="00B411ED" w:rsidP="00B411ED">
          <w:pPr>
            <w:spacing w:after="0" w:line="240" w:lineRule="auto"/>
            <w:jc w:val="center"/>
            <w:rPr>
              <w:rFonts w:ascii="Arial" w:hAnsi="Arial" w:cs="Arial"/>
              <w:b/>
              <w:bCs/>
              <w:sz w:val="24"/>
              <w:szCs w:val="24"/>
            </w:rPr>
          </w:pPr>
          <w:r w:rsidRPr="006A6D1B">
            <w:rPr>
              <w:rFonts w:ascii="Arial" w:hAnsi="Arial" w:cs="Arial"/>
              <w:b/>
              <w:bCs/>
              <w:sz w:val="24"/>
              <w:szCs w:val="24"/>
            </w:rPr>
            <w:t>SAKARYA ÜNİVERSİTESİ</w:t>
          </w:r>
        </w:p>
        <w:p w14:paraId="6A621A17" w14:textId="77777777" w:rsidR="00B411ED" w:rsidRPr="006A6D1B" w:rsidRDefault="00B411ED" w:rsidP="00B411ED">
          <w:pPr>
            <w:spacing w:after="0" w:line="240" w:lineRule="auto"/>
            <w:jc w:val="center"/>
            <w:rPr>
              <w:rFonts w:ascii="Arial" w:hAnsi="Arial" w:cs="Arial"/>
              <w:b/>
              <w:bCs/>
              <w:sz w:val="24"/>
              <w:szCs w:val="24"/>
            </w:rPr>
          </w:pPr>
          <w:r w:rsidRPr="006A6D1B">
            <w:rPr>
              <w:rFonts w:ascii="Arial" w:hAnsi="Arial" w:cs="Arial"/>
              <w:b/>
              <w:bCs/>
              <w:sz w:val="24"/>
              <w:szCs w:val="24"/>
            </w:rPr>
            <w:t>MÜHENDİSLİK FAKÜLTESİ</w:t>
          </w:r>
        </w:p>
        <w:p w14:paraId="508FDBDE" w14:textId="77777777" w:rsidR="00B411ED" w:rsidRPr="006A6D1B" w:rsidRDefault="00B411ED" w:rsidP="00B411ED">
          <w:pPr>
            <w:spacing w:after="0" w:line="240" w:lineRule="auto"/>
            <w:jc w:val="center"/>
            <w:rPr>
              <w:rFonts w:ascii="Arial" w:hAnsi="Arial" w:cs="Arial"/>
              <w:b/>
              <w:bCs/>
              <w:sz w:val="24"/>
              <w:szCs w:val="24"/>
            </w:rPr>
          </w:pPr>
          <w:r w:rsidRPr="006A6D1B">
            <w:rPr>
              <w:rFonts w:ascii="Arial" w:hAnsi="Arial" w:cs="Arial"/>
              <w:b/>
              <w:bCs/>
              <w:sz w:val="24"/>
              <w:szCs w:val="24"/>
            </w:rPr>
            <w:t>UYGULAMALI MÜHENDİSLİK DENEYİMİ EĞİTİMİ (UMDE)</w:t>
          </w:r>
        </w:p>
      </w:tc>
      <w:tc>
        <w:tcPr>
          <w:tcW w:w="523" w:type="pct"/>
          <w:vAlign w:val="bottom"/>
        </w:tcPr>
        <w:p w14:paraId="39F2A2A0" w14:textId="77777777" w:rsidR="00B411ED" w:rsidRPr="006A6D1B" w:rsidRDefault="00B411ED" w:rsidP="00B411ED">
          <w:pPr>
            <w:pStyle w:val="Header"/>
            <w:jc w:val="right"/>
            <w:rPr>
              <w:rFonts w:ascii="Arial" w:hAnsi="Arial" w:cs="Arial"/>
              <w:b/>
              <w:sz w:val="20"/>
              <w:szCs w:val="20"/>
            </w:rPr>
          </w:pPr>
        </w:p>
      </w:tc>
    </w:tr>
  </w:tbl>
  <w:p w14:paraId="6AD512DF" w14:textId="77777777" w:rsidR="00414B7A" w:rsidRPr="006A6D1B" w:rsidRDefault="00414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F25FA"/>
    <w:multiLevelType w:val="multilevel"/>
    <w:tmpl w:val="2B68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9487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66A7A"/>
    <w:rsid w:val="000754D7"/>
    <w:rsid w:val="00080F41"/>
    <w:rsid w:val="00082420"/>
    <w:rsid w:val="0008443A"/>
    <w:rsid w:val="000B224B"/>
    <w:rsid w:val="000B5AE8"/>
    <w:rsid w:val="000D0BBF"/>
    <w:rsid w:val="000D1F63"/>
    <w:rsid w:val="000F073B"/>
    <w:rsid w:val="0011196C"/>
    <w:rsid w:val="00112A07"/>
    <w:rsid w:val="0012494A"/>
    <w:rsid w:val="00142870"/>
    <w:rsid w:val="001518AB"/>
    <w:rsid w:val="00155C2B"/>
    <w:rsid w:val="00163ABE"/>
    <w:rsid w:val="001671AD"/>
    <w:rsid w:val="00175E79"/>
    <w:rsid w:val="001767FE"/>
    <w:rsid w:val="00194645"/>
    <w:rsid w:val="001C2F94"/>
    <w:rsid w:val="001D2AB8"/>
    <w:rsid w:val="001D5FC9"/>
    <w:rsid w:val="001F37F3"/>
    <w:rsid w:val="00216222"/>
    <w:rsid w:val="00227567"/>
    <w:rsid w:val="0024713D"/>
    <w:rsid w:val="00273331"/>
    <w:rsid w:val="00277BC9"/>
    <w:rsid w:val="00282046"/>
    <w:rsid w:val="002909ED"/>
    <w:rsid w:val="00293DF1"/>
    <w:rsid w:val="002A42AD"/>
    <w:rsid w:val="002A4FBD"/>
    <w:rsid w:val="002B45C6"/>
    <w:rsid w:val="002C5D93"/>
    <w:rsid w:val="002D4ADD"/>
    <w:rsid w:val="002F26D0"/>
    <w:rsid w:val="00307653"/>
    <w:rsid w:val="00315E31"/>
    <w:rsid w:val="0032407A"/>
    <w:rsid w:val="00341531"/>
    <w:rsid w:val="00342060"/>
    <w:rsid w:val="00355F8D"/>
    <w:rsid w:val="00367E03"/>
    <w:rsid w:val="00384118"/>
    <w:rsid w:val="00386B5D"/>
    <w:rsid w:val="00387C51"/>
    <w:rsid w:val="003B044F"/>
    <w:rsid w:val="003B34E5"/>
    <w:rsid w:val="003C2C49"/>
    <w:rsid w:val="003D5510"/>
    <w:rsid w:val="004000C3"/>
    <w:rsid w:val="004005FD"/>
    <w:rsid w:val="00413A52"/>
    <w:rsid w:val="00414B7A"/>
    <w:rsid w:val="004500B7"/>
    <w:rsid w:val="00454C7D"/>
    <w:rsid w:val="004743F5"/>
    <w:rsid w:val="00477523"/>
    <w:rsid w:val="004A5293"/>
    <w:rsid w:val="004C7ACB"/>
    <w:rsid w:val="004F2CFD"/>
    <w:rsid w:val="0050181D"/>
    <w:rsid w:val="00501BAE"/>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DD9"/>
    <w:rsid w:val="00656840"/>
    <w:rsid w:val="00664BBA"/>
    <w:rsid w:val="006665F5"/>
    <w:rsid w:val="0068016B"/>
    <w:rsid w:val="00687179"/>
    <w:rsid w:val="006A6603"/>
    <w:rsid w:val="006A6D1B"/>
    <w:rsid w:val="006C05F0"/>
    <w:rsid w:val="006C3671"/>
    <w:rsid w:val="006C5304"/>
    <w:rsid w:val="006E3D93"/>
    <w:rsid w:val="006E575B"/>
    <w:rsid w:val="006F61C7"/>
    <w:rsid w:val="006F77BA"/>
    <w:rsid w:val="0071788E"/>
    <w:rsid w:val="00730C84"/>
    <w:rsid w:val="00740C3B"/>
    <w:rsid w:val="00744F16"/>
    <w:rsid w:val="00751370"/>
    <w:rsid w:val="00755CA1"/>
    <w:rsid w:val="007623BF"/>
    <w:rsid w:val="00780111"/>
    <w:rsid w:val="007928DC"/>
    <w:rsid w:val="00792B84"/>
    <w:rsid w:val="00792FF0"/>
    <w:rsid w:val="00794D01"/>
    <w:rsid w:val="00794DD5"/>
    <w:rsid w:val="007B2013"/>
    <w:rsid w:val="007E5BFE"/>
    <w:rsid w:val="007F5DEF"/>
    <w:rsid w:val="0082403A"/>
    <w:rsid w:val="0082758B"/>
    <w:rsid w:val="00843EDA"/>
    <w:rsid w:val="008715B4"/>
    <w:rsid w:val="00881695"/>
    <w:rsid w:val="00893BE6"/>
    <w:rsid w:val="008A3F38"/>
    <w:rsid w:val="008A6113"/>
    <w:rsid w:val="008B1C79"/>
    <w:rsid w:val="008B6215"/>
    <w:rsid w:val="008C3E40"/>
    <w:rsid w:val="008C471D"/>
    <w:rsid w:val="008D7A41"/>
    <w:rsid w:val="008E3F82"/>
    <w:rsid w:val="00902D24"/>
    <w:rsid w:val="009377B4"/>
    <w:rsid w:val="00942E9D"/>
    <w:rsid w:val="00950143"/>
    <w:rsid w:val="009531EC"/>
    <w:rsid w:val="009710DE"/>
    <w:rsid w:val="0099068F"/>
    <w:rsid w:val="009924A8"/>
    <w:rsid w:val="009C7F30"/>
    <w:rsid w:val="009C7FAE"/>
    <w:rsid w:val="009F44A9"/>
    <w:rsid w:val="009F5C45"/>
    <w:rsid w:val="009F641B"/>
    <w:rsid w:val="00A04835"/>
    <w:rsid w:val="00A1108A"/>
    <w:rsid w:val="00A2137F"/>
    <w:rsid w:val="00A327C5"/>
    <w:rsid w:val="00A73CCE"/>
    <w:rsid w:val="00A74D81"/>
    <w:rsid w:val="00A901B6"/>
    <w:rsid w:val="00A938EF"/>
    <w:rsid w:val="00AA4056"/>
    <w:rsid w:val="00AA6444"/>
    <w:rsid w:val="00AB35D5"/>
    <w:rsid w:val="00AC3F3A"/>
    <w:rsid w:val="00AD5FB7"/>
    <w:rsid w:val="00AF62D2"/>
    <w:rsid w:val="00B034EF"/>
    <w:rsid w:val="00B16705"/>
    <w:rsid w:val="00B21F78"/>
    <w:rsid w:val="00B35D05"/>
    <w:rsid w:val="00B36D3E"/>
    <w:rsid w:val="00B411ED"/>
    <w:rsid w:val="00B63E94"/>
    <w:rsid w:val="00B66F2A"/>
    <w:rsid w:val="00B81A20"/>
    <w:rsid w:val="00BD17B1"/>
    <w:rsid w:val="00BE18BA"/>
    <w:rsid w:val="00C15AF6"/>
    <w:rsid w:val="00C263D5"/>
    <w:rsid w:val="00C3003D"/>
    <w:rsid w:val="00C41EF4"/>
    <w:rsid w:val="00C567E3"/>
    <w:rsid w:val="00C62294"/>
    <w:rsid w:val="00C63363"/>
    <w:rsid w:val="00C664F6"/>
    <w:rsid w:val="00C70BFA"/>
    <w:rsid w:val="00C77FB7"/>
    <w:rsid w:val="00CA0EC5"/>
    <w:rsid w:val="00CB19DB"/>
    <w:rsid w:val="00CC3FB6"/>
    <w:rsid w:val="00CD7408"/>
    <w:rsid w:val="00CE54C2"/>
    <w:rsid w:val="00CF696A"/>
    <w:rsid w:val="00D00A66"/>
    <w:rsid w:val="00D11BDB"/>
    <w:rsid w:val="00D154BF"/>
    <w:rsid w:val="00D41B0C"/>
    <w:rsid w:val="00D55E12"/>
    <w:rsid w:val="00D572A1"/>
    <w:rsid w:val="00D619F0"/>
    <w:rsid w:val="00D77034"/>
    <w:rsid w:val="00D80169"/>
    <w:rsid w:val="00D85EFF"/>
    <w:rsid w:val="00DA298F"/>
    <w:rsid w:val="00DD301B"/>
    <w:rsid w:val="00DD3AC4"/>
    <w:rsid w:val="00DD6809"/>
    <w:rsid w:val="00DF1D38"/>
    <w:rsid w:val="00E00B5F"/>
    <w:rsid w:val="00E020DE"/>
    <w:rsid w:val="00E2151F"/>
    <w:rsid w:val="00E249F6"/>
    <w:rsid w:val="00E62533"/>
    <w:rsid w:val="00E91C2B"/>
    <w:rsid w:val="00ED3937"/>
    <w:rsid w:val="00EE1E75"/>
    <w:rsid w:val="00F066EB"/>
    <w:rsid w:val="00F06D41"/>
    <w:rsid w:val="00F36B09"/>
    <w:rsid w:val="00F37FBA"/>
    <w:rsid w:val="00F40D70"/>
    <w:rsid w:val="00F526C6"/>
    <w:rsid w:val="00F54612"/>
    <w:rsid w:val="00F5748A"/>
    <w:rsid w:val="00F60890"/>
    <w:rsid w:val="00F6496B"/>
    <w:rsid w:val="00F74C1D"/>
    <w:rsid w:val="00F95429"/>
    <w:rsid w:val="00F967F0"/>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rPr>
  </w:style>
  <w:style w:type="table" w:styleId="GridTable5Dark">
    <w:name w:val="Grid Table 5 Dark"/>
    <w:basedOn w:val="TableNormal"/>
    <w:uiPriority w:val="50"/>
    <w:rsid w:val="00F36B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3">
    <w:name w:val="Grid Table 4 Accent 3"/>
    <w:basedOn w:val="TableNormal"/>
    <w:uiPriority w:val="49"/>
    <w:rsid w:val="00F36B0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1">
    <w:name w:val="Grid Table 4 Accent 1"/>
    <w:basedOn w:val="TableNormal"/>
    <w:uiPriority w:val="49"/>
    <w:rsid w:val="00F36B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F36B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F36B0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1275</Words>
  <Characters>9437</Characters>
  <Application>Microsoft Office Word</Application>
  <DocSecurity>0</DocSecurity>
  <Lines>269</Lines>
  <Paragraphs>155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NIRVANA</dc:creator>
  <cp:lastModifiedBy>Atakan Çalışkan</cp:lastModifiedBy>
  <cp:revision>7</cp:revision>
  <cp:lastPrinted>2012-12-11T09:04:00Z</cp:lastPrinted>
  <dcterms:created xsi:type="dcterms:W3CDTF">2021-07-06T20:39:00Z</dcterms:created>
  <dcterms:modified xsi:type="dcterms:W3CDTF">2026-03-11T22:50:00Z</dcterms:modified>
</cp:coreProperties>
</file>