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3235DF" w:rsidRDefault="00F40D70" w:rsidP="00F40D70">
      <w:pPr>
        <w:ind w:firstLine="708"/>
        <w:jc w:val="center"/>
        <w:rPr>
          <w:rFonts w:asciiTheme="majorHAnsi" w:hAnsiTheme="majorHAnsi"/>
          <w:b/>
          <w:sz w:val="32"/>
        </w:rPr>
      </w:pPr>
      <w:r w:rsidRPr="003235DF">
        <w:rPr>
          <w:rFonts w:asciiTheme="majorHAnsi" w:hAnsiTheme="majorHAnsi"/>
          <w:b/>
          <w:sz w:val="32"/>
        </w:rPr>
        <w:t>UMDE ADAY MÜHENDİS FAALİYET ARA RAPORU</w:t>
      </w:r>
      <w:r w:rsidR="00042201" w:rsidRPr="003235DF">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3235DF" w14:paraId="63758F25" w14:textId="77777777" w:rsidTr="00BF1756">
        <w:tc>
          <w:tcPr>
            <w:tcW w:w="3936" w:type="dxa"/>
          </w:tcPr>
          <w:p w14:paraId="63088B0C" w14:textId="77777777" w:rsidR="00F40D70" w:rsidRPr="003235DF" w:rsidRDefault="00F40D70" w:rsidP="002B45C6">
            <w:pPr>
              <w:spacing w:after="0"/>
              <w:jc w:val="both"/>
              <w:rPr>
                <w:rFonts w:asciiTheme="majorHAnsi" w:hAnsiTheme="majorHAnsi"/>
                <w:b/>
                <w:sz w:val="24"/>
              </w:rPr>
            </w:pPr>
            <w:r w:rsidRPr="003235DF">
              <w:rPr>
                <w:rFonts w:asciiTheme="majorHAnsi" w:hAnsiTheme="majorHAnsi"/>
                <w:b/>
                <w:sz w:val="24"/>
              </w:rPr>
              <w:t>Aday Mühendisin Adı ve Soyadı</w:t>
            </w:r>
          </w:p>
        </w:tc>
        <w:tc>
          <w:tcPr>
            <w:tcW w:w="5276" w:type="dxa"/>
          </w:tcPr>
          <w:p w14:paraId="59CB3322" w14:textId="1AAF76BC" w:rsidR="00F40D70" w:rsidRPr="003235DF" w:rsidRDefault="00012F6C" w:rsidP="002B45C6">
            <w:pPr>
              <w:spacing w:after="0" w:line="360" w:lineRule="auto"/>
              <w:rPr>
                <w:rFonts w:asciiTheme="majorHAnsi" w:hAnsiTheme="majorHAnsi"/>
                <w:b/>
                <w:sz w:val="24"/>
              </w:rPr>
            </w:pPr>
            <w:r w:rsidRPr="003235DF">
              <w:rPr>
                <w:rFonts w:asciiTheme="majorHAnsi" w:hAnsiTheme="majorHAnsi"/>
                <w:b/>
                <w:sz w:val="24"/>
              </w:rPr>
              <w:t>ATAKAN ÇALIŞKAN</w:t>
            </w:r>
          </w:p>
        </w:tc>
      </w:tr>
      <w:tr w:rsidR="00F40D70" w:rsidRPr="003235DF" w14:paraId="03E1ACF9" w14:textId="77777777" w:rsidTr="00BF1756">
        <w:tc>
          <w:tcPr>
            <w:tcW w:w="3936" w:type="dxa"/>
          </w:tcPr>
          <w:p w14:paraId="30015895" w14:textId="77777777" w:rsidR="00F40D70" w:rsidRPr="003235DF" w:rsidRDefault="00F40D70" w:rsidP="002B45C6">
            <w:pPr>
              <w:spacing w:after="0"/>
              <w:jc w:val="both"/>
              <w:rPr>
                <w:rFonts w:asciiTheme="majorHAnsi" w:hAnsiTheme="majorHAnsi"/>
                <w:b/>
                <w:sz w:val="24"/>
              </w:rPr>
            </w:pPr>
            <w:r w:rsidRPr="003235DF">
              <w:rPr>
                <w:rFonts w:asciiTheme="majorHAnsi" w:hAnsiTheme="majorHAnsi"/>
                <w:b/>
                <w:sz w:val="24"/>
              </w:rPr>
              <w:t>UMDE İşletmesinin Adı</w:t>
            </w:r>
          </w:p>
        </w:tc>
        <w:tc>
          <w:tcPr>
            <w:tcW w:w="5276" w:type="dxa"/>
          </w:tcPr>
          <w:p w14:paraId="3EB01350" w14:textId="6C2EA59A" w:rsidR="00F40D70" w:rsidRPr="003235DF" w:rsidRDefault="00012F6C" w:rsidP="002B45C6">
            <w:pPr>
              <w:spacing w:after="0" w:line="360" w:lineRule="auto"/>
              <w:rPr>
                <w:rFonts w:asciiTheme="majorHAnsi" w:hAnsiTheme="majorHAnsi"/>
                <w:b/>
                <w:sz w:val="24"/>
              </w:rPr>
            </w:pPr>
            <w:r w:rsidRPr="003235DF">
              <w:rPr>
                <w:rFonts w:asciiTheme="majorHAnsi" w:hAnsiTheme="majorHAnsi"/>
                <w:b/>
                <w:sz w:val="24"/>
              </w:rPr>
              <w:t>TEI-TUSAŞ MOTOR SANAYİİ A.Ş.</w:t>
            </w:r>
          </w:p>
        </w:tc>
      </w:tr>
      <w:tr w:rsidR="00F40D70" w:rsidRPr="003235DF" w14:paraId="35F89B4A" w14:textId="77777777" w:rsidTr="00BF1756">
        <w:tc>
          <w:tcPr>
            <w:tcW w:w="3936" w:type="dxa"/>
          </w:tcPr>
          <w:p w14:paraId="03B575D2" w14:textId="77777777" w:rsidR="00F40D70" w:rsidRPr="003235DF" w:rsidRDefault="00F40D70" w:rsidP="002B45C6">
            <w:pPr>
              <w:spacing w:after="0"/>
              <w:jc w:val="both"/>
              <w:rPr>
                <w:rFonts w:asciiTheme="majorHAnsi" w:hAnsiTheme="majorHAnsi"/>
                <w:b/>
                <w:sz w:val="24"/>
              </w:rPr>
            </w:pPr>
            <w:r w:rsidRPr="003235DF">
              <w:rPr>
                <w:rFonts w:asciiTheme="majorHAnsi" w:hAnsiTheme="majorHAnsi"/>
                <w:b/>
                <w:sz w:val="24"/>
              </w:rPr>
              <w:t>Çalıştığı Bölüm ve Alan</w:t>
            </w:r>
          </w:p>
        </w:tc>
        <w:tc>
          <w:tcPr>
            <w:tcW w:w="5276" w:type="dxa"/>
          </w:tcPr>
          <w:p w14:paraId="6375B6F4" w14:textId="497849DD" w:rsidR="00F40D70" w:rsidRPr="003235DF" w:rsidRDefault="00012F6C" w:rsidP="002B45C6">
            <w:pPr>
              <w:spacing w:after="0" w:line="360" w:lineRule="auto"/>
              <w:rPr>
                <w:rFonts w:asciiTheme="majorHAnsi" w:hAnsiTheme="majorHAnsi"/>
                <w:b/>
                <w:sz w:val="24"/>
              </w:rPr>
            </w:pPr>
            <w:r w:rsidRPr="003235DF">
              <w:rPr>
                <w:rFonts w:asciiTheme="majorHAnsi" w:hAnsiTheme="majorHAnsi"/>
                <w:b/>
                <w:sz w:val="24"/>
              </w:rPr>
              <w:t>Yazılım Müdürlüğü – Gömülü Yazılım Geliştirme</w:t>
            </w:r>
          </w:p>
        </w:tc>
      </w:tr>
      <w:tr w:rsidR="00F40D70" w:rsidRPr="003235DF" w14:paraId="0BDBA0E6" w14:textId="77777777" w:rsidTr="00BF1756">
        <w:tc>
          <w:tcPr>
            <w:tcW w:w="3936" w:type="dxa"/>
          </w:tcPr>
          <w:p w14:paraId="1D6A27E6" w14:textId="77777777" w:rsidR="00F40D70" w:rsidRPr="003235DF" w:rsidRDefault="00F40D70" w:rsidP="002B45C6">
            <w:pPr>
              <w:spacing w:after="0"/>
              <w:jc w:val="both"/>
              <w:rPr>
                <w:rFonts w:asciiTheme="majorHAnsi" w:hAnsiTheme="majorHAnsi"/>
                <w:b/>
                <w:sz w:val="24"/>
              </w:rPr>
            </w:pPr>
            <w:r w:rsidRPr="003235DF">
              <w:rPr>
                <w:rFonts w:asciiTheme="majorHAnsi" w:hAnsiTheme="majorHAnsi"/>
                <w:b/>
                <w:sz w:val="24"/>
              </w:rPr>
              <w:t>Teslim Edilen Ara Rapor No</w:t>
            </w:r>
          </w:p>
        </w:tc>
        <w:tc>
          <w:tcPr>
            <w:tcW w:w="5276" w:type="dxa"/>
          </w:tcPr>
          <w:p w14:paraId="0C895702" w14:textId="664B46CE" w:rsidR="00F40D70" w:rsidRPr="003235DF" w:rsidRDefault="00DB6BFC" w:rsidP="002B45C6">
            <w:pPr>
              <w:spacing w:after="0" w:line="360" w:lineRule="auto"/>
              <w:rPr>
                <w:rFonts w:asciiTheme="majorHAnsi" w:hAnsiTheme="majorHAnsi"/>
                <w:b/>
                <w:sz w:val="24"/>
              </w:rPr>
            </w:pPr>
            <w:r w:rsidRPr="003235DF">
              <w:rPr>
                <w:rFonts w:asciiTheme="majorHAnsi" w:hAnsiTheme="majorHAnsi"/>
                <w:b/>
                <w:sz w:val="24"/>
              </w:rPr>
              <w:t>3</w:t>
            </w:r>
          </w:p>
        </w:tc>
      </w:tr>
      <w:tr w:rsidR="00F40D70" w:rsidRPr="003235DF" w14:paraId="793BB306" w14:textId="77777777" w:rsidTr="00BF1756">
        <w:tc>
          <w:tcPr>
            <w:tcW w:w="3936" w:type="dxa"/>
          </w:tcPr>
          <w:p w14:paraId="03B861BD" w14:textId="77777777" w:rsidR="00F40D70" w:rsidRPr="003235DF" w:rsidRDefault="00F40D70" w:rsidP="002B45C6">
            <w:pPr>
              <w:spacing w:after="0"/>
              <w:jc w:val="both"/>
              <w:rPr>
                <w:rFonts w:asciiTheme="majorHAnsi" w:hAnsiTheme="majorHAnsi"/>
                <w:b/>
                <w:sz w:val="24"/>
              </w:rPr>
            </w:pPr>
            <w:r w:rsidRPr="003235DF">
              <w:rPr>
                <w:rFonts w:asciiTheme="majorHAnsi" w:hAnsiTheme="majorHAnsi"/>
                <w:b/>
                <w:sz w:val="24"/>
              </w:rPr>
              <w:t>Faaliyet Zaman Aralığı</w:t>
            </w:r>
          </w:p>
        </w:tc>
        <w:tc>
          <w:tcPr>
            <w:tcW w:w="5276" w:type="dxa"/>
          </w:tcPr>
          <w:p w14:paraId="538A3C64" w14:textId="7424E2CD" w:rsidR="00F40D70" w:rsidRPr="003235DF" w:rsidRDefault="00DB6BFC" w:rsidP="002B45C6">
            <w:pPr>
              <w:spacing w:after="0" w:line="360" w:lineRule="auto"/>
              <w:rPr>
                <w:rFonts w:asciiTheme="majorHAnsi" w:hAnsiTheme="majorHAnsi"/>
                <w:b/>
                <w:sz w:val="24"/>
              </w:rPr>
            </w:pPr>
            <w:r w:rsidRPr="003235DF">
              <w:rPr>
                <w:rFonts w:asciiTheme="majorHAnsi" w:hAnsiTheme="majorHAnsi"/>
                <w:b/>
                <w:sz w:val="24"/>
              </w:rPr>
              <w:t>02</w:t>
            </w:r>
            <w:r w:rsidR="00F40D70" w:rsidRPr="003235DF">
              <w:rPr>
                <w:rFonts w:asciiTheme="majorHAnsi" w:hAnsiTheme="majorHAnsi"/>
                <w:b/>
                <w:sz w:val="24"/>
              </w:rPr>
              <w:t xml:space="preserve">  /</w:t>
            </w:r>
            <w:r w:rsidRPr="003235DF">
              <w:rPr>
                <w:rFonts w:asciiTheme="majorHAnsi" w:hAnsiTheme="majorHAnsi"/>
                <w:b/>
                <w:sz w:val="24"/>
              </w:rPr>
              <w:t xml:space="preserve"> 03</w:t>
            </w:r>
            <w:r w:rsidR="00F40D70" w:rsidRPr="003235DF">
              <w:rPr>
                <w:rFonts w:asciiTheme="majorHAnsi" w:hAnsiTheme="majorHAnsi"/>
                <w:b/>
                <w:sz w:val="24"/>
              </w:rPr>
              <w:t xml:space="preserve">  /</w:t>
            </w:r>
            <w:r w:rsidRPr="003235DF">
              <w:rPr>
                <w:rFonts w:asciiTheme="majorHAnsi" w:hAnsiTheme="majorHAnsi"/>
                <w:b/>
                <w:sz w:val="24"/>
              </w:rPr>
              <w:t>2026</w:t>
            </w:r>
            <w:r w:rsidR="00F40D70" w:rsidRPr="003235DF">
              <w:rPr>
                <w:rFonts w:asciiTheme="majorHAnsi" w:hAnsiTheme="majorHAnsi"/>
                <w:b/>
                <w:sz w:val="24"/>
              </w:rPr>
              <w:t xml:space="preserve">    -    </w:t>
            </w:r>
            <w:r w:rsidRPr="003235DF">
              <w:rPr>
                <w:rFonts w:asciiTheme="majorHAnsi" w:hAnsiTheme="majorHAnsi"/>
                <w:b/>
                <w:sz w:val="24"/>
              </w:rPr>
              <w:t>05</w:t>
            </w:r>
            <w:r w:rsidR="00F40D70" w:rsidRPr="003235DF">
              <w:rPr>
                <w:rFonts w:asciiTheme="majorHAnsi" w:hAnsiTheme="majorHAnsi"/>
                <w:b/>
                <w:sz w:val="24"/>
              </w:rPr>
              <w:t xml:space="preserve"> / </w:t>
            </w:r>
            <w:r w:rsidRPr="003235DF">
              <w:rPr>
                <w:rFonts w:asciiTheme="majorHAnsi" w:hAnsiTheme="majorHAnsi"/>
                <w:b/>
                <w:sz w:val="24"/>
              </w:rPr>
              <w:t>03</w:t>
            </w:r>
            <w:r w:rsidR="00F40D70" w:rsidRPr="003235DF">
              <w:rPr>
                <w:rFonts w:asciiTheme="majorHAnsi" w:hAnsiTheme="majorHAnsi"/>
                <w:b/>
                <w:sz w:val="24"/>
              </w:rPr>
              <w:t xml:space="preserve"> /</w:t>
            </w:r>
            <w:r w:rsidRPr="003235DF">
              <w:rPr>
                <w:rFonts w:asciiTheme="majorHAnsi" w:hAnsiTheme="majorHAnsi"/>
                <w:b/>
                <w:sz w:val="24"/>
              </w:rPr>
              <w:t>2026</w:t>
            </w:r>
            <w:r w:rsidR="00F40D70" w:rsidRPr="003235DF">
              <w:rPr>
                <w:rFonts w:asciiTheme="majorHAnsi" w:hAnsiTheme="majorHAnsi"/>
                <w:b/>
                <w:sz w:val="24"/>
              </w:rPr>
              <w:t xml:space="preserve">    </w:t>
            </w:r>
          </w:p>
        </w:tc>
      </w:tr>
    </w:tbl>
    <w:p w14:paraId="024FE033" w14:textId="77777777" w:rsidR="00F40D70" w:rsidRPr="003235DF" w:rsidRDefault="00F40D70" w:rsidP="00F40D70">
      <w:pPr>
        <w:spacing w:before="120" w:after="240"/>
        <w:jc w:val="both"/>
        <w:rPr>
          <w:rFonts w:asciiTheme="majorHAnsi" w:hAnsiTheme="majorHAnsi"/>
          <w:b/>
        </w:rPr>
      </w:pPr>
      <w:r w:rsidRPr="003235DF">
        <w:rPr>
          <w:rFonts w:asciiTheme="majorHAnsi" w:hAnsiTheme="majorHAnsi"/>
          <w:b/>
        </w:rPr>
        <w:t xml:space="preserve">UMDE Aday Mühendis; </w:t>
      </w:r>
      <w:r w:rsidR="002B45C6" w:rsidRPr="003235DF">
        <w:rPr>
          <w:rFonts w:asciiTheme="majorHAnsi" w:hAnsiTheme="majorHAnsi"/>
          <w:b/>
        </w:rPr>
        <w:t>faaliyet ara raporunu danışman öğretim üyesi/görevlisine her hafta teslim etmek zorundadır. Akademik danışman bu rapora göre değerlendirme yapacaktır</w:t>
      </w:r>
      <w:r w:rsidRPr="003235DF">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3235DF" w14:paraId="5E8F5BEF" w14:textId="77777777" w:rsidTr="00BF1756">
        <w:tc>
          <w:tcPr>
            <w:tcW w:w="9212" w:type="dxa"/>
          </w:tcPr>
          <w:p w14:paraId="4D58B11C" w14:textId="77777777" w:rsidR="00F40D70" w:rsidRPr="003235DF" w:rsidRDefault="00F40D70" w:rsidP="00BF1756">
            <w:pPr>
              <w:jc w:val="center"/>
              <w:rPr>
                <w:rFonts w:asciiTheme="majorHAnsi" w:hAnsiTheme="majorHAnsi"/>
                <w:b/>
              </w:rPr>
            </w:pPr>
            <w:r w:rsidRPr="003235DF">
              <w:rPr>
                <w:rFonts w:asciiTheme="majorHAnsi" w:hAnsiTheme="majorHAnsi"/>
                <w:b/>
                <w:sz w:val="24"/>
              </w:rPr>
              <w:t>FAALİYET ARA RAPORU</w:t>
            </w:r>
          </w:p>
        </w:tc>
      </w:tr>
      <w:tr w:rsidR="00F40D70" w:rsidRPr="003235DF" w14:paraId="11BD5A33" w14:textId="77777777" w:rsidTr="00BF1756">
        <w:tc>
          <w:tcPr>
            <w:tcW w:w="9212" w:type="dxa"/>
          </w:tcPr>
          <w:p w14:paraId="3CC6CBB9" w14:textId="52821093" w:rsidR="00F40D70" w:rsidRPr="003235DF" w:rsidRDefault="003235DF" w:rsidP="00BF1756">
            <w:pPr>
              <w:rPr>
                <w:rFonts w:asciiTheme="majorHAnsi" w:hAnsiTheme="majorHAnsi"/>
                <w:bCs/>
              </w:rPr>
            </w:pPr>
            <w:r w:rsidRPr="003235DF">
              <w:rPr>
                <w:rFonts w:asciiTheme="majorHAnsi" w:hAnsiTheme="majorHAnsi"/>
                <w:bCs/>
              </w:rPr>
              <w:t xml:space="preserve">Bu hafta, sıcaklık ölçüm altyapısında kullanılacak TMP117 tabanlı sıcaklık sensör kartının sisteme entegrasyonuna yönelik ön hazırlık çalışmaları gerçekleştirilmiştir. Bu kapsamda ilk olarak sensör kartına ait datasheet ayrıntılı biçimde incelenmiş, </w:t>
            </w:r>
            <w:r w:rsidRPr="003235DF">
              <w:rPr>
                <w:rFonts w:asciiTheme="majorHAnsi" w:hAnsiTheme="majorHAnsi"/>
                <w:b/>
              </w:rPr>
              <w:t>sensörün haberleşme arayüzü, ölçüm çözünürlüğü, çalışma modları, adresleme yapısı ve register organizasyonu</w:t>
            </w:r>
            <w:r w:rsidRPr="003235DF">
              <w:rPr>
                <w:rFonts w:asciiTheme="majorHAnsi" w:hAnsiTheme="majorHAnsi"/>
                <w:bCs/>
              </w:rPr>
              <w:t xml:space="preserve"> </w:t>
            </w:r>
            <w:r>
              <w:rPr>
                <w:rFonts w:asciiTheme="majorHAnsi" w:hAnsiTheme="majorHAnsi"/>
                <w:bCs/>
              </w:rPr>
              <w:t>hakkında bilgi</w:t>
            </w:r>
            <w:r w:rsidRPr="003235DF">
              <w:rPr>
                <w:rFonts w:asciiTheme="majorHAnsi" w:hAnsiTheme="majorHAnsi"/>
                <w:bCs/>
              </w:rPr>
              <w:t xml:space="preserve"> ed</w:t>
            </w:r>
            <w:r>
              <w:rPr>
                <w:rFonts w:asciiTheme="majorHAnsi" w:hAnsiTheme="majorHAnsi"/>
                <w:bCs/>
              </w:rPr>
              <w:t>inilmiştir</w:t>
            </w:r>
            <w:r w:rsidRPr="003235DF">
              <w:rPr>
                <w:rFonts w:asciiTheme="majorHAnsi" w:hAnsiTheme="majorHAnsi"/>
                <w:bCs/>
              </w:rPr>
              <w:t xml:space="preserve">. Elde edilen bilgiler doğrultusunda, sensör ile haberleşmede kullanılacak I2C tabanlı yazılım mimarisinin gereksinimleri belirlenmiş ve bu gereksinimlere uygun olarak C2000 serisi TI geliştirme kartının I2C çevre birimine ait </w:t>
            </w:r>
            <w:r w:rsidRPr="000F11C6">
              <w:rPr>
                <w:rFonts w:asciiTheme="majorHAnsi" w:hAnsiTheme="majorHAnsi"/>
                <w:b/>
              </w:rPr>
              <w:t>reference manual</w:t>
            </w:r>
            <w:r w:rsidRPr="003235DF">
              <w:rPr>
                <w:rFonts w:asciiTheme="majorHAnsi" w:hAnsiTheme="majorHAnsi"/>
                <w:bCs/>
              </w:rPr>
              <w:t xml:space="preserve"> incelenmiştir.</w:t>
            </w:r>
          </w:p>
          <w:p w14:paraId="5458E015" w14:textId="2F25FACF" w:rsidR="003235DF" w:rsidRDefault="003235DF" w:rsidP="00BF1756">
            <w:pPr>
              <w:rPr>
                <w:rFonts w:asciiTheme="majorHAnsi" w:hAnsiTheme="majorHAnsi"/>
                <w:b/>
                <w:u w:val="single"/>
              </w:rPr>
            </w:pPr>
            <w:r w:rsidRPr="003235DF">
              <w:rPr>
                <w:rFonts w:asciiTheme="majorHAnsi" w:hAnsiTheme="majorHAnsi"/>
                <w:b/>
                <w:u w:val="single"/>
              </w:rPr>
              <w:t>TMP117 ADAFRUIT – SICAKLIK SENSÖRÜ</w:t>
            </w:r>
          </w:p>
          <w:p w14:paraId="11AF5BFB" w14:textId="0DD1725B" w:rsidR="003235DF" w:rsidRDefault="003235DF" w:rsidP="00BF1756">
            <w:pPr>
              <w:rPr>
                <w:rFonts w:asciiTheme="majorHAnsi" w:hAnsiTheme="majorHAnsi"/>
                <w:bCs/>
              </w:rPr>
            </w:pPr>
            <w:r w:rsidRPr="003235DF">
              <w:rPr>
                <w:rFonts w:asciiTheme="majorHAnsi" w:hAnsiTheme="majorHAnsi"/>
                <w:bCs/>
              </w:rPr>
              <w:t xml:space="preserve">TMP117 sensörü, </w:t>
            </w:r>
            <w:r w:rsidRPr="003235DF">
              <w:rPr>
                <w:rFonts w:asciiTheme="majorHAnsi" w:hAnsiTheme="majorHAnsi"/>
                <w:b/>
                <w:bCs/>
              </w:rPr>
              <w:t>16-bit dijital sıcaklık çıktısı</w:t>
            </w:r>
            <w:r w:rsidRPr="003235DF">
              <w:rPr>
                <w:rFonts w:asciiTheme="majorHAnsi" w:hAnsiTheme="majorHAnsi"/>
                <w:bCs/>
              </w:rPr>
              <w:t xml:space="preserve"> veren, </w:t>
            </w:r>
            <w:r w:rsidRPr="003235DF">
              <w:rPr>
                <w:rFonts w:asciiTheme="majorHAnsi" w:hAnsiTheme="majorHAnsi"/>
                <w:b/>
                <w:bCs/>
              </w:rPr>
              <w:t>0.0078 °C/LSB çözünürlüğe</w:t>
            </w:r>
            <w:r w:rsidRPr="003235DF">
              <w:rPr>
                <w:rFonts w:asciiTheme="majorHAnsi" w:hAnsiTheme="majorHAnsi"/>
                <w:bCs/>
              </w:rPr>
              <w:t xml:space="preserve"> sahip yüksek hassasiyetli bir sıcaklık sensörüdür. Sensör, </w:t>
            </w:r>
            <w:r w:rsidRPr="003235DF">
              <w:rPr>
                <w:rFonts w:asciiTheme="majorHAnsi" w:hAnsiTheme="majorHAnsi"/>
                <w:b/>
                <w:bCs/>
              </w:rPr>
              <w:t xml:space="preserve">–20 °C ile 50 °C </w:t>
            </w:r>
            <w:r w:rsidRPr="003235DF">
              <w:rPr>
                <w:rFonts w:asciiTheme="majorHAnsi" w:hAnsiTheme="majorHAnsi"/>
              </w:rPr>
              <w:t>aralığında</w:t>
            </w:r>
            <w:r w:rsidRPr="003235DF">
              <w:rPr>
                <w:rFonts w:asciiTheme="majorHAnsi" w:hAnsiTheme="majorHAnsi"/>
                <w:b/>
                <w:bCs/>
              </w:rPr>
              <w:t xml:space="preserve"> ±0.1 °C</w:t>
            </w:r>
            <w:r>
              <w:rPr>
                <w:rFonts w:asciiTheme="majorHAnsi" w:hAnsiTheme="majorHAnsi"/>
                <w:b/>
                <w:bCs/>
              </w:rPr>
              <w:t xml:space="preserve"> </w:t>
            </w:r>
            <w:r w:rsidRPr="003235DF">
              <w:rPr>
                <w:rFonts w:asciiTheme="majorHAnsi" w:hAnsiTheme="majorHAnsi"/>
                <w:bCs/>
              </w:rPr>
              <w:t xml:space="preserve">doğruluk değerleri sunmaktadır. Çalışma sıcaklık aralığı </w:t>
            </w:r>
            <w:r w:rsidRPr="003235DF">
              <w:rPr>
                <w:rFonts w:asciiTheme="majorHAnsi" w:hAnsiTheme="majorHAnsi"/>
                <w:b/>
                <w:bCs/>
              </w:rPr>
              <w:t>–55 °C ile 150 °C</w:t>
            </w:r>
            <w:r w:rsidRPr="003235DF">
              <w:rPr>
                <w:rFonts w:asciiTheme="majorHAnsi" w:hAnsiTheme="majorHAnsi"/>
                <w:bCs/>
              </w:rPr>
              <w:t xml:space="preserve"> arasında olup, </w:t>
            </w:r>
            <w:r w:rsidRPr="003235DF">
              <w:rPr>
                <w:rFonts w:asciiTheme="majorHAnsi" w:hAnsiTheme="majorHAnsi"/>
                <w:b/>
                <w:bCs/>
              </w:rPr>
              <w:t>1.7 V – 5.5 V</w:t>
            </w:r>
            <w:r w:rsidRPr="003235DF">
              <w:rPr>
                <w:rFonts w:asciiTheme="majorHAnsi" w:hAnsiTheme="majorHAnsi"/>
                <w:bCs/>
              </w:rPr>
              <w:t xml:space="preserve"> besleme gerilimi ile çalışabilmektedir.</w:t>
            </w:r>
            <w:r>
              <w:rPr>
                <w:rFonts w:asciiTheme="majorHAnsi" w:hAnsiTheme="majorHAnsi"/>
                <w:bCs/>
              </w:rPr>
              <w:t xml:space="preserve"> </w:t>
            </w:r>
            <w:r w:rsidR="00EE2794" w:rsidRPr="00EE2794">
              <w:rPr>
                <w:rFonts w:asciiTheme="majorHAnsi" w:hAnsiTheme="majorHAnsi"/>
                <w:bCs/>
              </w:rPr>
              <w:t>Bu sayede 3.3 V lojik seviyesinde çalışan hedef donanım ile uyumlu biçimde kullanılabilmektedir</w:t>
            </w:r>
            <w:r>
              <w:rPr>
                <w:rFonts w:asciiTheme="majorHAnsi" w:hAnsiTheme="majorHAnsi"/>
                <w:bCs/>
              </w:rPr>
              <w:t>.</w:t>
            </w:r>
            <w:r w:rsidRPr="003235DF">
              <w:rPr>
                <w:rFonts w:asciiTheme="majorHAnsi" w:hAnsiTheme="majorHAnsi"/>
                <w:bCs/>
              </w:rPr>
              <w:t xml:space="preserve"> Düşük güç tüketimi sayesinde özellikle sürekli ölçüm gerektiren gömülü sistem uygulamalarında avantaj sağlamakta; tipik olarak </w:t>
            </w:r>
            <w:r w:rsidRPr="003235DF">
              <w:rPr>
                <w:rFonts w:asciiTheme="majorHAnsi" w:hAnsiTheme="majorHAnsi"/>
                <w:b/>
                <w:bCs/>
              </w:rPr>
              <w:t>1 Hz çevrimde 3.5 µA</w:t>
            </w:r>
            <w:r w:rsidRPr="003235DF">
              <w:rPr>
                <w:rFonts w:asciiTheme="majorHAnsi" w:hAnsiTheme="majorHAnsi"/>
                <w:bCs/>
              </w:rPr>
              <w:t xml:space="preserve">, shutdown modunda ise </w:t>
            </w:r>
            <w:r w:rsidRPr="003235DF">
              <w:rPr>
                <w:rFonts w:asciiTheme="majorHAnsi" w:hAnsiTheme="majorHAnsi"/>
                <w:b/>
                <w:bCs/>
              </w:rPr>
              <w:t>150 nA</w:t>
            </w:r>
            <w:r w:rsidRPr="003235DF">
              <w:rPr>
                <w:rFonts w:asciiTheme="majorHAnsi" w:hAnsiTheme="majorHAnsi"/>
                <w:bCs/>
              </w:rPr>
              <w:t xml:space="preserve"> seviyesinde akım tüketmektedir. Sensörün bu özellikleri, düşük güç tüketimi ve yüksek sıcaklık hassasiyeti gerektiren gömülü izleme uygulamaları açısından uygun bir çözüm sunduğunu göstermektedir.</w:t>
            </w:r>
          </w:p>
          <w:p w14:paraId="22A1F730" w14:textId="31F0A6A8" w:rsidR="00E57B2B" w:rsidRDefault="00E57B2B" w:rsidP="00BF1756">
            <w:pPr>
              <w:rPr>
                <w:rFonts w:asciiTheme="majorHAnsi" w:hAnsiTheme="majorHAnsi"/>
                <w:bCs/>
              </w:rPr>
            </w:pPr>
            <w:r w:rsidRPr="00E57B2B">
              <w:rPr>
                <w:rFonts w:asciiTheme="majorHAnsi" w:hAnsiTheme="majorHAnsi"/>
                <w:bCs/>
              </w:rPr>
              <w:t xml:space="preserve">Sensörün haberleşme tarafında </w:t>
            </w:r>
            <w:r w:rsidRPr="00E57B2B">
              <w:rPr>
                <w:rFonts w:asciiTheme="majorHAnsi" w:hAnsiTheme="majorHAnsi"/>
                <w:b/>
                <w:bCs/>
              </w:rPr>
              <w:t>I2C/SMBus uyumlu iki telli seri arayüz</w:t>
            </w:r>
            <w:r w:rsidRPr="00E57B2B">
              <w:rPr>
                <w:rFonts w:asciiTheme="majorHAnsi" w:hAnsiTheme="majorHAnsi"/>
                <w:bCs/>
              </w:rPr>
              <w:t xml:space="preserve"> kullandığı görülmüştür. TMP117 yalnızca </w:t>
            </w:r>
            <w:r w:rsidRPr="00E57B2B">
              <w:rPr>
                <w:rFonts w:asciiTheme="majorHAnsi" w:hAnsiTheme="majorHAnsi"/>
                <w:b/>
                <w:bCs/>
              </w:rPr>
              <w:t>slave</w:t>
            </w:r>
            <w:r w:rsidRPr="00E57B2B">
              <w:rPr>
                <w:rFonts w:asciiTheme="majorHAnsi" w:hAnsiTheme="majorHAnsi"/>
                <w:bCs/>
              </w:rPr>
              <w:t xml:space="preserve"> olarak çalışmakta ve adresleme için kullanılan </w:t>
            </w:r>
            <w:r w:rsidRPr="00E57B2B">
              <w:rPr>
                <w:rFonts w:asciiTheme="majorHAnsi" w:hAnsiTheme="majorHAnsi"/>
                <w:b/>
                <w:bCs/>
              </w:rPr>
              <w:t>ADD0 pini</w:t>
            </w:r>
            <w:r w:rsidRPr="00E57B2B">
              <w:rPr>
                <w:rFonts w:asciiTheme="majorHAnsi" w:hAnsiTheme="majorHAnsi"/>
                <w:bCs/>
              </w:rPr>
              <w:t xml:space="preserve"> </w:t>
            </w:r>
            <w:r w:rsidRPr="00E57B2B">
              <w:rPr>
                <w:rFonts w:asciiTheme="majorHAnsi" w:hAnsiTheme="majorHAnsi"/>
                <w:bCs/>
              </w:rPr>
              <w:lastRenderedPageBreak/>
              <w:t xml:space="preserve">sayesinde aynı hat üzerinde dört farklı cihaz adresi desteklenmektedir. Dokümantasyona göre ADD0 pini </w:t>
            </w:r>
            <w:r w:rsidRPr="00E57B2B">
              <w:rPr>
                <w:rFonts w:asciiTheme="majorHAnsi" w:hAnsiTheme="majorHAnsi"/>
                <w:b/>
                <w:bCs/>
              </w:rPr>
              <w:t>GND, V+, SDA veya SCL</w:t>
            </w:r>
            <w:r w:rsidRPr="00E57B2B">
              <w:rPr>
                <w:rFonts w:asciiTheme="majorHAnsi" w:hAnsiTheme="majorHAnsi"/>
                <w:bCs/>
              </w:rPr>
              <w:t xml:space="preserve"> hatlarından birine bağlanarak sırasıyla </w:t>
            </w:r>
            <w:r w:rsidRPr="00E57B2B">
              <w:rPr>
                <w:rFonts w:asciiTheme="majorHAnsi" w:hAnsiTheme="majorHAnsi"/>
              </w:rPr>
              <w:t xml:space="preserve">1001000x, 1001001x, 1001010x ve 1001011x </w:t>
            </w:r>
            <w:r w:rsidRPr="00E57B2B">
              <w:rPr>
                <w:rFonts w:asciiTheme="majorHAnsi" w:hAnsiTheme="majorHAnsi"/>
                <w:bCs/>
              </w:rPr>
              <w:t xml:space="preserve">adresleri elde edilebilmektedir. Bu yapı, ilerleyen aşamalarda aynı I2C hattına birden fazla sensör bağlanması veya sistem genişletilmesi açısından önemli bir esneklik sağlamaktadır. Ayrıca sensör içerisinde </w:t>
            </w:r>
            <w:r w:rsidRPr="00E57B2B">
              <w:rPr>
                <w:rFonts w:asciiTheme="majorHAnsi" w:hAnsiTheme="majorHAnsi"/>
                <w:b/>
                <w:bCs/>
              </w:rPr>
              <w:t>48 bit genel amaçlı EEPROM</w:t>
            </w:r>
            <w:r w:rsidRPr="00E57B2B">
              <w:rPr>
                <w:rFonts w:asciiTheme="majorHAnsi" w:hAnsiTheme="majorHAnsi"/>
                <w:bCs/>
              </w:rPr>
              <w:t xml:space="preserve">, programlanabilir </w:t>
            </w:r>
            <w:r w:rsidRPr="00E57B2B">
              <w:rPr>
                <w:rFonts w:asciiTheme="majorHAnsi" w:hAnsiTheme="majorHAnsi"/>
              </w:rPr>
              <w:t>yüksek/düşük sıcaklık limitleri, alert çıkışı, offset düzeltme ve one-shot ölçüm</w:t>
            </w:r>
            <w:r w:rsidRPr="00E57B2B">
              <w:rPr>
                <w:rFonts w:asciiTheme="majorHAnsi" w:hAnsiTheme="majorHAnsi"/>
                <w:bCs/>
              </w:rPr>
              <w:t xml:space="preserve"> desteği bulunması, yalnızca ham sıcaklık okuma değil aynı zamanda sistem düzeyinde izleme ve hata yönetimi için de kullanılabileceğini göstermektedir.</w:t>
            </w:r>
          </w:p>
          <w:p w14:paraId="296ECFEB" w14:textId="373229C3" w:rsidR="00441460" w:rsidRDefault="00441460" w:rsidP="00441460">
            <w:pPr>
              <w:jc w:val="center"/>
              <w:rPr>
                <w:rFonts w:asciiTheme="majorHAnsi" w:hAnsiTheme="majorHAnsi"/>
                <w:bCs/>
              </w:rPr>
            </w:pPr>
            <w:r>
              <w:rPr>
                <w:rFonts w:asciiTheme="majorHAnsi" w:hAnsiTheme="majorHAnsi"/>
                <w:bCs/>
                <w:noProof/>
              </w:rPr>
              <w:drawing>
                <wp:inline distT="0" distB="0" distL="0" distR="0" wp14:anchorId="243D267C" wp14:editId="720187D7">
                  <wp:extent cx="1956021" cy="1461605"/>
                  <wp:effectExtent l="0" t="0" r="6350" b="5715"/>
                  <wp:docPr id="162948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620" t="17060" r="17513" b="17288"/>
                          <a:stretch>
                            <a:fillRect/>
                          </a:stretch>
                        </pic:blipFill>
                        <pic:spPr bwMode="auto">
                          <a:xfrm>
                            <a:off x="0" y="0"/>
                            <a:ext cx="1978936" cy="1478728"/>
                          </a:xfrm>
                          <a:prstGeom prst="rect">
                            <a:avLst/>
                          </a:prstGeom>
                          <a:noFill/>
                          <a:ln>
                            <a:noFill/>
                          </a:ln>
                          <a:extLst>
                            <a:ext uri="{53640926-AAD7-44D8-BBD7-CCE9431645EC}">
                              <a14:shadowObscured xmlns:a14="http://schemas.microsoft.com/office/drawing/2010/main"/>
                            </a:ext>
                          </a:extLst>
                        </pic:spPr>
                      </pic:pic>
                    </a:graphicData>
                  </a:graphic>
                </wp:inline>
              </w:drawing>
            </w:r>
          </w:p>
          <w:p w14:paraId="650A271E" w14:textId="5D0E429A" w:rsidR="00441460" w:rsidRPr="00441460" w:rsidRDefault="00441460" w:rsidP="00441460">
            <w:pPr>
              <w:pStyle w:val="Caption"/>
              <w:jc w:val="center"/>
              <w:rPr>
                <w:rFonts w:asciiTheme="majorHAnsi" w:hAnsiTheme="majorHAnsi"/>
                <w:b/>
                <w:bCs/>
              </w:rPr>
            </w:pPr>
            <w:r w:rsidRPr="00FD75E3">
              <w:rPr>
                <w:b/>
                <w:bCs/>
              </w:rPr>
              <w:t xml:space="preserve">EK </w:t>
            </w:r>
            <w:r w:rsidRPr="00FD75E3">
              <w:rPr>
                <w:b/>
                <w:bCs/>
              </w:rPr>
              <w:fldChar w:fldCharType="begin"/>
            </w:r>
            <w:r w:rsidRPr="00FD75E3">
              <w:rPr>
                <w:b/>
                <w:bCs/>
              </w:rPr>
              <w:instrText xml:space="preserve"> SEQ Şekil \* ARABIC </w:instrText>
            </w:r>
            <w:r w:rsidRPr="00FD75E3">
              <w:rPr>
                <w:b/>
                <w:bCs/>
              </w:rPr>
              <w:fldChar w:fldCharType="separate"/>
            </w:r>
            <w:r w:rsidRPr="00FD75E3">
              <w:rPr>
                <w:b/>
                <w:bCs/>
                <w:noProof/>
              </w:rPr>
              <w:t>1</w:t>
            </w:r>
            <w:r w:rsidRPr="00FD75E3">
              <w:rPr>
                <w:b/>
                <w:bCs/>
              </w:rPr>
              <w:fldChar w:fldCharType="end"/>
            </w:r>
            <w:r w:rsidRPr="00FD75E3">
              <w:rPr>
                <w:b/>
                <w:bCs/>
              </w:rPr>
              <w:t xml:space="preserve"> TMP 117 </w:t>
            </w:r>
            <w:r>
              <w:rPr>
                <w:b/>
                <w:bCs/>
              </w:rPr>
              <w:t>Temp</w:t>
            </w:r>
            <w:r w:rsidR="00EE2794">
              <w:rPr>
                <w:b/>
                <w:bCs/>
              </w:rPr>
              <w:t>e</w:t>
            </w:r>
            <w:r>
              <w:rPr>
                <w:b/>
                <w:bCs/>
              </w:rPr>
              <w:t>rature Sensor</w:t>
            </w:r>
          </w:p>
          <w:p w14:paraId="0404B2BD" w14:textId="25166425" w:rsidR="00FD75E3" w:rsidRDefault="00755210" w:rsidP="00FD75E3">
            <w:pPr>
              <w:rPr>
                <w:rFonts w:asciiTheme="majorHAnsi" w:hAnsiTheme="majorHAnsi"/>
                <w:bCs/>
              </w:rPr>
            </w:pPr>
            <w:r w:rsidRPr="00755210">
              <w:rPr>
                <w:rFonts w:asciiTheme="majorHAnsi" w:hAnsiTheme="majorHAnsi"/>
                <w:bCs/>
              </w:rPr>
              <w:t>TMP117 datasheet incelemesinde özellikle sensörün register map yapısı üzerinde durulmuştur. Register haritasında</w:t>
            </w:r>
            <w:r>
              <w:rPr>
                <w:rFonts w:asciiTheme="majorHAnsi" w:hAnsiTheme="majorHAnsi"/>
                <w:bCs/>
              </w:rPr>
              <w:t xml:space="preserve"> </w:t>
            </w:r>
            <w:r w:rsidRPr="00755210">
              <w:rPr>
                <w:rFonts w:asciiTheme="majorHAnsi" w:hAnsiTheme="majorHAnsi"/>
                <w:b/>
                <w:i/>
                <w:iCs/>
              </w:rPr>
              <w:t>(</w:t>
            </w:r>
            <w:r>
              <w:rPr>
                <w:rFonts w:asciiTheme="majorHAnsi" w:hAnsiTheme="majorHAnsi"/>
                <w:b/>
                <w:i/>
                <w:iCs/>
              </w:rPr>
              <w:t>EK</w:t>
            </w:r>
            <w:r w:rsidR="00FD75E3">
              <w:rPr>
                <w:rFonts w:asciiTheme="majorHAnsi" w:hAnsiTheme="majorHAnsi"/>
                <w:b/>
                <w:i/>
                <w:iCs/>
              </w:rPr>
              <w:t xml:space="preserve"> </w:t>
            </w:r>
            <w:r w:rsidR="00441460">
              <w:rPr>
                <w:rFonts w:asciiTheme="majorHAnsi" w:hAnsiTheme="majorHAnsi"/>
                <w:b/>
                <w:i/>
                <w:iCs/>
              </w:rPr>
              <w:t>2</w:t>
            </w:r>
            <w:r w:rsidRPr="00755210">
              <w:rPr>
                <w:rFonts w:asciiTheme="majorHAnsi" w:hAnsiTheme="majorHAnsi"/>
                <w:b/>
                <w:i/>
                <w:iCs/>
              </w:rPr>
              <w:t xml:space="preserve">) </w:t>
            </w:r>
            <w:r w:rsidRPr="00755210">
              <w:rPr>
                <w:rFonts w:asciiTheme="majorHAnsi" w:hAnsiTheme="majorHAnsi"/>
                <w:bCs/>
              </w:rPr>
              <w:t xml:space="preserve"> 00h adresinde Temperature Result, 01h adresinde Configuration, 02h ve 03h adreslerinde yüksek/düşük sıcaklık limit registerları, 04h adresinde EEPROM unlock, 05h–08h aralığında EEPROM ve offset registerları ile 0Fh adresinde Device ID registerı bulunduğu görülmüştür</w:t>
            </w:r>
            <w:r>
              <w:rPr>
                <w:rFonts w:asciiTheme="majorHAnsi" w:hAnsiTheme="majorHAnsi"/>
                <w:bCs/>
              </w:rPr>
              <w:t xml:space="preserve">. </w:t>
            </w:r>
          </w:p>
          <w:p w14:paraId="68BC1F11" w14:textId="17D290AB" w:rsidR="00755210" w:rsidRDefault="00FD75E3" w:rsidP="00FD75E3">
            <w:pPr>
              <w:jc w:val="center"/>
              <w:rPr>
                <w:rFonts w:asciiTheme="majorHAnsi" w:hAnsiTheme="majorHAnsi"/>
                <w:bCs/>
              </w:rPr>
            </w:pPr>
            <w:r w:rsidRPr="00755210">
              <w:rPr>
                <w:rFonts w:asciiTheme="majorHAnsi" w:hAnsiTheme="majorHAnsi"/>
                <w:bCs/>
                <w:noProof/>
              </w:rPr>
              <w:drawing>
                <wp:inline distT="0" distB="0" distL="0" distR="0" wp14:anchorId="3D567490" wp14:editId="2E4894DB">
                  <wp:extent cx="5272786" cy="1852654"/>
                  <wp:effectExtent l="0" t="0" r="4445" b="0"/>
                  <wp:docPr id="14062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42597" name=""/>
                          <pic:cNvPicPr/>
                        </pic:nvPicPr>
                        <pic:blipFill>
                          <a:blip r:embed="rId8"/>
                          <a:stretch>
                            <a:fillRect/>
                          </a:stretch>
                        </pic:blipFill>
                        <pic:spPr>
                          <a:xfrm>
                            <a:off x="0" y="0"/>
                            <a:ext cx="5361017" cy="1883655"/>
                          </a:xfrm>
                          <a:prstGeom prst="rect">
                            <a:avLst/>
                          </a:prstGeom>
                        </pic:spPr>
                      </pic:pic>
                    </a:graphicData>
                  </a:graphic>
                </wp:inline>
              </w:drawing>
            </w:r>
          </w:p>
          <w:p w14:paraId="2C128B1A" w14:textId="10E02BA7" w:rsidR="00FD75E3" w:rsidRDefault="00FD75E3" w:rsidP="00FD75E3">
            <w:pPr>
              <w:pStyle w:val="Caption"/>
              <w:jc w:val="center"/>
              <w:rPr>
                <w:b/>
                <w:bCs/>
              </w:rPr>
            </w:pPr>
            <w:r w:rsidRPr="00FD75E3">
              <w:rPr>
                <w:b/>
                <w:bCs/>
              </w:rPr>
              <w:t xml:space="preserve">EK </w:t>
            </w:r>
            <w:r w:rsidR="00441460">
              <w:rPr>
                <w:b/>
                <w:bCs/>
              </w:rPr>
              <w:t>2</w:t>
            </w:r>
            <w:r w:rsidRPr="00FD75E3">
              <w:rPr>
                <w:b/>
                <w:bCs/>
              </w:rPr>
              <w:t xml:space="preserve"> TMP 117 Register Map</w:t>
            </w:r>
          </w:p>
          <w:p w14:paraId="47BA2D3A" w14:textId="77777777" w:rsidR="00441460" w:rsidRPr="00441460" w:rsidRDefault="00441460" w:rsidP="00441460"/>
          <w:p w14:paraId="581843DF" w14:textId="6A3EBE17" w:rsidR="00FD75E3" w:rsidRDefault="00FD75E3" w:rsidP="00BF1756">
            <w:pPr>
              <w:rPr>
                <w:rFonts w:asciiTheme="majorHAnsi" w:hAnsiTheme="majorHAnsi"/>
                <w:bCs/>
              </w:rPr>
            </w:pPr>
            <w:r w:rsidRPr="00FD75E3">
              <w:rPr>
                <w:rFonts w:asciiTheme="majorHAnsi" w:hAnsiTheme="majorHAnsi"/>
                <w:bCs/>
              </w:rPr>
              <w:lastRenderedPageBreak/>
              <w:t>Sıcaklık verisi, 16 bit işaretli veri formatında tutulmakta olup negatif değerler two’s complement (iki’nin tümleyeni) gösterimi ile temsil edilmektedir.</w:t>
            </w:r>
            <w:r w:rsidR="00755210" w:rsidRPr="00755210">
              <w:rPr>
                <w:rFonts w:asciiTheme="majorHAnsi" w:hAnsiTheme="majorHAnsi"/>
                <w:bCs/>
              </w:rPr>
              <w:t xml:space="preserve"> </w:t>
            </w:r>
            <w:r w:rsidR="00755210" w:rsidRPr="00755210">
              <w:rPr>
                <w:rFonts w:asciiTheme="majorHAnsi" w:hAnsiTheme="majorHAnsi"/>
                <w:b/>
              </w:rPr>
              <w:t>1 LSB değeri 7.8125 m°C</w:t>
            </w:r>
            <w:r w:rsidR="00755210" w:rsidRPr="00755210">
              <w:rPr>
                <w:rFonts w:asciiTheme="majorHAnsi" w:hAnsiTheme="majorHAnsi"/>
                <w:bCs/>
              </w:rPr>
              <w:t>’dir</w:t>
            </w:r>
            <w:r>
              <w:rPr>
                <w:rFonts w:asciiTheme="majorHAnsi" w:hAnsiTheme="majorHAnsi"/>
                <w:bCs/>
              </w:rPr>
              <w:t xml:space="preserve"> </w:t>
            </w:r>
            <w:r w:rsidRPr="00FD75E3">
              <w:rPr>
                <w:rFonts w:asciiTheme="majorHAnsi" w:hAnsiTheme="majorHAnsi"/>
                <w:b/>
                <w:i/>
                <w:iCs/>
              </w:rPr>
              <w:t xml:space="preserve">(EK </w:t>
            </w:r>
            <w:r w:rsidR="00441460">
              <w:rPr>
                <w:rFonts w:asciiTheme="majorHAnsi" w:hAnsiTheme="majorHAnsi"/>
                <w:b/>
                <w:i/>
                <w:iCs/>
              </w:rPr>
              <w:t>3</w:t>
            </w:r>
            <w:r w:rsidRPr="00FD75E3">
              <w:rPr>
                <w:rFonts w:asciiTheme="majorHAnsi" w:hAnsiTheme="majorHAnsi"/>
                <w:b/>
                <w:i/>
                <w:iCs/>
              </w:rPr>
              <w:t>)</w:t>
            </w:r>
            <w:r w:rsidR="00755210" w:rsidRPr="00755210">
              <w:rPr>
                <w:rFonts w:asciiTheme="majorHAnsi" w:hAnsiTheme="majorHAnsi"/>
                <w:bCs/>
              </w:rPr>
              <w:t>.</w:t>
            </w:r>
            <w:r w:rsidR="00755210">
              <w:rPr>
                <w:rFonts w:asciiTheme="majorHAnsi" w:hAnsiTheme="majorHAnsi"/>
                <w:bCs/>
              </w:rPr>
              <w:t xml:space="preserve"> Bu değer yazılımda </w:t>
            </w:r>
            <w:r>
              <w:rPr>
                <w:rFonts w:asciiTheme="majorHAnsi" w:hAnsiTheme="majorHAnsi"/>
                <w:bCs/>
              </w:rPr>
              <w:t>elde ettiğimiz ham veriden sıcaklık değerine ulaşmamızda kullanılacaktır.</w:t>
            </w:r>
            <w:r w:rsidR="00755210" w:rsidRPr="00755210">
              <w:rPr>
                <w:rFonts w:asciiTheme="majorHAnsi" w:hAnsiTheme="majorHAnsi"/>
                <w:bCs/>
              </w:rPr>
              <w:t xml:space="preserve"> </w:t>
            </w:r>
          </w:p>
          <w:p w14:paraId="5EB2D0CB" w14:textId="4DE810BA" w:rsidR="00FD75E3" w:rsidRDefault="00FD75E3" w:rsidP="00FD75E3">
            <w:pPr>
              <w:jc w:val="center"/>
              <w:rPr>
                <w:rFonts w:asciiTheme="majorHAnsi" w:hAnsiTheme="majorHAnsi"/>
                <w:bCs/>
              </w:rPr>
            </w:pPr>
            <w:r w:rsidRPr="00FD75E3">
              <w:rPr>
                <w:rFonts w:asciiTheme="majorHAnsi" w:hAnsiTheme="majorHAnsi"/>
                <w:bCs/>
                <w:noProof/>
              </w:rPr>
              <w:drawing>
                <wp:inline distT="0" distB="0" distL="0" distR="0" wp14:anchorId="5AD67D1F" wp14:editId="3CA3344B">
                  <wp:extent cx="4468633" cy="1870800"/>
                  <wp:effectExtent l="0" t="0" r="8255" b="0"/>
                  <wp:docPr id="4719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644" name=""/>
                          <pic:cNvPicPr/>
                        </pic:nvPicPr>
                        <pic:blipFill>
                          <a:blip r:embed="rId9"/>
                          <a:stretch>
                            <a:fillRect/>
                          </a:stretch>
                        </pic:blipFill>
                        <pic:spPr>
                          <a:xfrm>
                            <a:off x="0" y="0"/>
                            <a:ext cx="4506583" cy="1886688"/>
                          </a:xfrm>
                          <a:prstGeom prst="rect">
                            <a:avLst/>
                          </a:prstGeom>
                        </pic:spPr>
                      </pic:pic>
                    </a:graphicData>
                  </a:graphic>
                </wp:inline>
              </w:drawing>
            </w:r>
          </w:p>
          <w:p w14:paraId="308BC30D" w14:textId="071DEB76" w:rsidR="00FD75E3" w:rsidRPr="00441460" w:rsidRDefault="00FD75E3" w:rsidP="00441460">
            <w:pPr>
              <w:pStyle w:val="Caption"/>
              <w:jc w:val="center"/>
              <w:rPr>
                <w:rFonts w:asciiTheme="majorHAnsi" w:hAnsiTheme="majorHAnsi"/>
                <w:b/>
                <w:bCs/>
              </w:rPr>
            </w:pPr>
            <w:r w:rsidRPr="00FD75E3">
              <w:rPr>
                <w:b/>
                <w:bCs/>
              </w:rPr>
              <w:t xml:space="preserve">EK </w:t>
            </w:r>
            <w:r w:rsidR="00441460">
              <w:rPr>
                <w:b/>
                <w:bCs/>
              </w:rPr>
              <w:t>3</w:t>
            </w:r>
            <w:r w:rsidRPr="00FD75E3">
              <w:rPr>
                <w:b/>
                <w:bCs/>
              </w:rPr>
              <w:t xml:space="preserve"> TMP 117 </w:t>
            </w:r>
            <w:r>
              <w:rPr>
                <w:b/>
                <w:bCs/>
              </w:rPr>
              <w:t>Temp</w:t>
            </w:r>
            <w:r w:rsidR="00EE2794">
              <w:rPr>
                <w:b/>
                <w:bCs/>
              </w:rPr>
              <w:t>e</w:t>
            </w:r>
            <w:r>
              <w:rPr>
                <w:b/>
                <w:bCs/>
              </w:rPr>
              <w:t>rature Register Value</w:t>
            </w:r>
          </w:p>
          <w:p w14:paraId="31824143" w14:textId="337B91F3" w:rsidR="00F40D70" w:rsidRDefault="00755210" w:rsidP="00BF1756">
            <w:pPr>
              <w:rPr>
                <w:rFonts w:asciiTheme="majorHAnsi" w:hAnsiTheme="majorHAnsi"/>
                <w:bCs/>
              </w:rPr>
            </w:pPr>
            <w:r w:rsidRPr="00755210">
              <w:rPr>
                <w:rFonts w:asciiTheme="majorHAnsi" w:hAnsiTheme="majorHAnsi"/>
                <w:bCs/>
              </w:rPr>
              <w:t>Yapılandırma registerı</w:t>
            </w:r>
            <w:r w:rsidR="00441460">
              <w:rPr>
                <w:rFonts w:asciiTheme="majorHAnsi" w:hAnsiTheme="majorHAnsi"/>
                <w:bCs/>
              </w:rPr>
              <w:t xml:space="preserve"> (Configuration Register)</w:t>
            </w:r>
            <w:r w:rsidRPr="00755210">
              <w:rPr>
                <w:rFonts w:asciiTheme="majorHAnsi" w:hAnsiTheme="majorHAnsi"/>
                <w:bCs/>
              </w:rPr>
              <w:t xml:space="preserve"> içinde yer alan MOD[1:0] bitleri ile continuous, shutdown ve one-shot modları; CONV[2:0] bitleri ile çevrim süresi; AVG[1:0] bitleri ile örnek ortalama sayısı; ayrıca T/nA, POL, DR/Alert gibi bitlerle alarm ve uyarı davranışı belirlenebilmektedir. Varsayılan yapılandırma değeri 0220h, cihaz kimlik registerı ise 0117h olarak verilmiştir. Bu inceleme</w:t>
            </w:r>
            <w:r w:rsidR="00441460">
              <w:rPr>
                <w:rFonts w:asciiTheme="majorHAnsi" w:hAnsiTheme="majorHAnsi"/>
                <w:bCs/>
              </w:rPr>
              <w:t>ler</w:t>
            </w:r>
            <w:r w:rsidRPr="00755210">
              <w:rPr>
                <w:rFonts w:asciiTheme="majorHAnsi" w:hAnsiTheme="majorHAnsi"/>
                <w:bCs/>
              </w:rPr>
              <w:t xml:space="preserve"> sayesinde sensörden veri okuma ve konfigürasyon yazma akışının doğrudan register seviyesinde nasıl yönetileceği netleştirilmiştir.</w:t>
            </w:r>
          </w:p>
          <w:p w14:paraId="6B0F47F3" w14:textId="77777777" w:rsidR="002B45C6" w:rsidRDefault="00441460" w:rsidP="00BF1756">
            <w:pPr>
              <w:rPr>
                <w:rFonts w:asciiTheme="majorHAnsi" w:hAnsiTheme="majorHAnsi"/>
                <w:bCs/>
              </w:rPr>
            </w:pPr>
            <w:r w:rsidRPr="00441460">
              <w:rPr>
                <w:rFonts w:asciiTheme="majorHAnsi" w:hAnsiTheme="majorHAnsi"/>
                <w:bCs/>
              </w:rPr>
              <w:t xml:space="preserve">Configuration register incelemesi kapsamında sensörün ölçüm davranışının yalnızca tek bir sabit çevrimden ibaret olmadığı, uygulama ihtiyacına göre değiştirilebildiği görülmüştür. Datasheet’e göre continuous conversion modunda çevrim süresi, </w:t>
            </w:r>
            <w:r w:rsidRPr="00441460">
              <w:rPr>
                <w:rFonts w:asciiTheme="majorHAnsi" w:hAnsiTheme="majorHAnsi"/>
                <w:b/>
                <w:bCs/>
              </w:rPr>
              <w:t>CONV</w:t>
            </w:r>
            <w:r w:rsidRPr="00441460">
              <w:rPr>
                <w:rFonts w:asciiTheme="majorHAnsi" w:hAnsiTheme="majorHAnsi"/>
                <w:bCs/>
              </w:rPr>
              <w:t xml:space="preserve"> ve </w:t>
            </w:r>
            <w:r w:rsidRPr="00441460">
              <w:rPr>
                <w:rFonts w:asciiTheme="majorHAnsi" w:hAnsiTheme="majorHAnsi"/>
                <w:b/>
                <w:bCs/>
              </w:rPr>
              <w:t>AVG</w:t>
            </w:r>
            <w:r w:rsidRPr="00441460">
              <w:rPr>
                <w:rFonts w:asciiTheme="majorHAnsi" w:hAnsiTheme="majorHAnsi"/>
                <w:bCs/>
              </w:rPr>
              <w:t xml:space="preserve"> bitlerinin kombinasyonuna bağlı olarak </w:t>
            </w:r>
            <w:r w:rsidRPr="00441460">
              <w:rPr>
                <w:rFonts w:asciiTheme="majorHAnsi" w:hAnsiTheme="majorHAnsi"/>
                <w:b/>
                <w:bCs/>
              </w:rPr>
              <w:t>15.5 ms ile 4 s</w:t>
            </w:r>
            <w:r w:rsidRPr="00441460">
              <w:rPr>
                <w:rFonts w:asciiTheme="majorHAnsi" w:hAnsiTheme="majorHAnsi"/>
                <w:bCs/>
              </w:rPr>
              <w:t xml:space="preserve"> arasında ayarlanabilmektedir. Aynı şekilde one-shot modunda tek ölçüm alındıktan sonra sensörün düşük güç moduna geri dönebilmesi, özellikle enerji verimliliğinin kritik olduğu gömülü sistemlerde faydalı bir kullanım senaryosu oluşturmaktadır. Bu nedenle sensör tarafında yalnızca veri okuma değil, aynı zamanda uygulamaya uygun </w:t>
            </w:r>
            <w:r w:rsidRPr="00441460">
              <w:rPr>
                <w:rFonts w:asciiTheme="majorHAnsi" w:hAnsiTheme="majorHAnsi"/>
              </w:rPr>
              <w:t>ölçüm periyodu, ortalama alma seviyesi ve güç tüketimi-optimizasyonu</w:t>
            </w:r>
            <w:r w:rsidRPr="00441460">
              <w:rPr>
                <w:rFonts w:asciiTheme="majorHAnsi" w:hAnsiTheme="majorHAnsi"/>
                <w:bCs/>
              </w:rPr>
              <w:t xml:space="preserve"> parametreleri de değerlendirilmiştir.</w:t>
            </w:r>
          </w:p>
          <w:p w14:paraId="437D6C14" w14:textId="77777777" w:rsidR="00321678" w:rsidRDefault="00321678" w:rsidP="00BF1756">
            <w:pPr>
              <w:rPr>
                <w:rFonts w:asciiTheme="majorHAnsi" w:hAnsiTheme="majorHAnsi"/>
                <w:bCs/>
              </w:rPr>
            </w:pPr>
          </w:p>
          <w:p w14:paraId="7655266C" w14:textId="77777777" w:rsidR="00321678" w:rsidRDefault="00321678" w:rsidP="00BF1756">
            <w:pPr>
              <w:rPr>
                <w:rFonts w:asciiTheme="majorHAnsi" w:hAnsiTheme="majorHAnsi"/>
                <w:bCs/>
              </w:rPr>
            </w:pPr>
          </w:p>
          <w:p w14:paraId="69A602EA" w14:textId="77777777" w:rsidR="00321678" w:rsidRDefault="00321678" w:rsidP="00BF1756">
            <w:pPr>
              <w:rPr>
                <w:rFonts w:asciiTheme="majorHAnsi" w:hAnsiTheme="majorHAnsi"/>
                <w:bCs/>
              </w:rPr>
            </w:pPr>
          </w:p>
          <w:p w14:paraId="0E92EDFE" w14:textId="77777777" w:rsidR="00EE2794" w:rsidRDefault="00EE2794" w:rsidP="00BF1756">
            <w:pPr>
              <w:rPr>
                <w:rFonts w:asciiTheme="majorHAnsi" w:hAnsiTheme="majorHAnsi"/>
                <w:b/>
                <w:u w:val="single"/>
              </w:rPr>
            </w:pPr>
            <w:r w:rsidRPr="00EE2794">
              <w:rPr>
                <w:rFonts w:asciiTheme="majorHAnsi" w:hAnsiTheme="majorHAnsi"/>
                <w:b/>
                <w:u w:val="single"/>
              </w:rPr>
              <w:lastRenderedPageBreak/>
              <w:t>C2000 Serisi TI Geliştirme Kartı - I2C Modülü</w:t>
            </w:r>
          </w:p>
          <w:p w14:paraId="1474441C" w14:textId="70AF4264" w:rsidR="00DF7D7F" w:rsidRDefault="00321678" w:rsidP="00BF1756">
            <w:pPr>
              <w:rPr>
                <w:rFonts w:asciiTheme="majorHAnsi" w:hAnsiTheme="majorHAnsi"/>
                <w:bCs/>
              </w:rPr>
            </w:pPr>
            <w:r w:rsidRPr="00321678">
              <w:rPr>
                <w:rFonts w:asciiTheme="majorHAnsi" w:hAnsiTheme="majorHAnsi"/>
                <w:bCs/>
              </w:rPr>
              <w:t xml:space="preserve">C2000 serisi TI geliştirme kartının I2C modülü detaylı biçimde değerlendirilmiştir. İncelenen teknik dokümana göre ilgili mikrodenetleyici yapısında gerçek zamanlı kontrol alt sisteminde iki adet I2C çevre birimi yer almakta; I2C modülü içerisinde prescaler, noise filter, arbitration yapısı, control/status registerları, TX FIFO ve RX FIFO blokları bulunmaktadır. Ayrıca I2C protokol zamanlama şartlarının sağlanabilmesi için modül saat frekansının </w:t>
            </w:r>
            <w:r w:rsidRPr="00321678">
              <w:rPr>
                <w:rFonts w:asciiTheme="majorHAnsi" w:hAnsiTheme="majorHAnsi"/>
                <w:b/>
              </w:rPr>
              <w:t>7 MHz ile 12 MHz</w:t>
            </w:r>
            <w:r w:rsidRPr="00321678">
              <w:rPr>
                <w:rFonts w:asciiTheme="majorHAnsi" w:hAnsiTheme="majorHAnsi"/>
                <w:bCs/>
              </w:rPr>
              <w:t xml:space="preserve"> aralığında yapılandırılması gerektiği belirtilmektedir. Bu bilgi, sensör haberleşmesinde doğru prescaler ve clock low/high time ayarlarının yapılabilmesi açısından doğrudan önem taşımaktadır.</w:t>
            </w:r>
          </w:p>
          <w:p w14:paraId="074C5288" w14:textId="2A7638F8" w:rsidR="006C3077" w:rsidRPr="00321678" w:rsidRDefault="006C3077" w:rsidP="00BF1756">
            <w:pPr>
              <w:rPr>
                <w:rFonts w:asciiTheme="majorHAnsi" w:hAnsiTheme="majorHAnsi"/>
                <w:bCs/>
              </w:rPr>
            </w:pPr>
            <w:r w:rsidRPr="006C3077">
              <w:rPr>
                <w:rFonts w:asciiTheme="majorHAnsi" w:hAnsiTheme="majorHAnsi"/>
                <w:bCs/>
              </w:rPr>
              <w:t>C2000 Serisi TI Geliştirme Kartı – I2C Temel Register Tablosu</w:t>
            </w:r>
          </w:p>
          <w:tbl>
            <w:tblPr>
              <w:tblStyle w:val="TableGrid"/>
              <w:tblW w:w="0" w:type="auto"/>
              <w:tblLook w:val="04A0" w:firstRow="1" w:lastRow="0" w:firstColumn="1" w:lastColumn="0" w:noHBand="0" w:noVBand="1"/>
            </w:tblPr>
            <w:tblGrid>
              <w:gridCol w:w="1062"/>
              <w:gridCol w:w="1514"/>
              <w:gridCol w:w="2835"/>
              <w:gridCol w:w="3533"/>
            </w:tblGrid>
            <w:tr w:rsidR="0064355B" w14:paraId="79A7245D" w14:textId="77777777" w:rsidTr="009D76A5">
              <w:trPr>
                <w:trHeight w:val="478"/>
              </w:trPr>
              <w:tc>
                <w:tcPr>
                  <w:tcW w:w="1062" w:type="dxa"/>
                </w:tcPr>
                <w:p w14:paraId="40B027FB" w14:textId="33D65D3B" w:rsidR="0064355B" w:rsidRPr="006C3077" w:rsidRDefault="0064355B" w:rsidP="009D76A5">
                  <w:pPr>
                    <w:jc w:val="center"/>
                    <w:rPr>
                      <w:rFonts w:asciiTheme="majorHAnsi" w:hAnsiTheme="majorHAnsi" w:cstheme="minorHAnsi"/>
                      <w:b/>
                    </w:rPr>
                  </w:pPr>
                  <w:r w:rsidRPr="006C3077">
                    <w:rPr>
                      <w:rFonts w:asciiTheme="majorHAnsi" w:hAnsiTheme="majorHAnsi" w:cstheme="minorHAnsi"/>
                      <w:b/>
                    </w:rPr>
                    <w:t>Register</w:t>
                  </w:r>
                </w:p>
              </w:tc>
              <w:tc>
                <w:tcPr>
                  <w:tcW w:w="1514" w:type="dxa"/>
                </w:tcPr>
                <w:p w14:paraId="40FAAE50" w14:textId="5D197A22" w:rsidR="0064355B" w:rsidRPr="006C3077" w:rsidRDefault="0064355B" w:rsidP="009D76A5">
                  <w:pPr>
                    <w:jc w:val="center"/>
                    <w:rPr>
                      <w:rFonts w:asciiTheme="majorHAnsi" w:hAnsiTheme="majorHAnsi" w:cstheme="minorHAnsi"/>
                      <w:b/>
                    </w:rPr>
                  </w:pPr>
                  <w:r w:rsidRPr="006C3077">
                    <w:rPr>
                      <w:rFonts w:asciiTheme="majorHAnsi" w:hAnsiTheme="majorHAnsi" w:cstheme="minorHAnsi"/>
                      <w:b/>
                    </w:rPr>
                    <w:t>Temel Görev</w:t>
                  </w:r>
                </w:p>
              </w:tc>
              <w:tc>
                <w:tcPr>
                  <w:tcW w:w="2835" w:type="dxa"/>
                </w:tcPr>
                <w:p w14:paraId="6BFDFCA4" w14:textId="44F8EA83" w:rsidR="0064355B" w:rsidRPr="006C3077" w:rsidRDefault="0064355B" w:rsidP="009D76A5">
                  <w:pPr>
                    <w:jc w:val="center"/>
                    <w:rPr>
                      <w:rFonts w:asciiTheme="majorHAnsi" w:hAnsiTheme="majorHAnsi" w:cstheme="minorHAnsi"/>
                      <w:b/>
                    </w:rPr>
                  </w:pPr>
                  <w:r w:rsidRPr="006C3077">
                    <w:rPr>
                      <w:rFonts w:asciiTheme="majorHAnsi" w:hAnsiTheme="majorHAnsi" w:cstheme="minorHAnsi"/>
                      <w:b/>
                    </w:rPr>
                    <w:t>Açıklama</w:t>
                  </w:r>
                </w:p>
              </w:tc>
              <w:tc>
                <w:tcPr>
                  <w:tcW w:w="3533" w:type="dxa"/>
                </w:tcPr>
                <w:p w14:paraId="09D207A8" w14:textId="0983AC99" w:rsidR="0064355B" w:rsidRPr="006C3077" w:rsidRDefault="0064355B" w:rsidP="009D76A5">
                  <w:pPr>
                    <w:jc w:val="center"/>
                    <w:rPr>
                      <w:rFonts w:asciiTheme="majorHAnsi" w:hAnsiTheme="majorHAnsi" w:cstheme="minorHAnsi"/>
                      <w:b/>
                    </w:rPr>
                  </w:pPr>
                  <w:r w:rsidRPr="006C3077">
                    <w:rPr>
                      <w:rFonts w:asciiTheme="majorHAnsi" w:hAnsiTheme="majorHAnsi" w:cstheme="minorHAnsi"/>
                      <w:b/>
                    </w:rPr>
                    <w:t>Projedeki Kullanım Amacı</w:t>
                  </w:r>
                </w:p>
              </w:tc>
            </w:tr>
            <w:tr w:rsidR="0064355B" w14:paraId="4BCD1E19" w14:textId="77777777" w:rsidTr="009D76A5">
              <w:trPr>
                <w:trHeight w:val="491"/>
              </w:trPr>
              <w:tc>
                <w:tcPr>
                  <w:tcW w:w="1062" w:type="dxa"/>
                </w:tcPr>
                <w:p w14:paraId="1C2AF0A9" w14:textId="5BC0AC27"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t>I2CMDR</w:t>
                  </w:r>
                </w:p>
              </w:tc>
              <w:tc>
                <w:tcPr>
                  <w:tcW w:w="1514" w:type="dxa"/>
                </w:tcPr>
                <w:p w14:paraId="365F3406" w14:textId="3B74BB34"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Modül çalışma kontrolü</w:t>
                  </w:r>
                </w:p>
              </w:tc>
              <w:tc>
                <w:tcPr>
                  <w:tcW w:w="2835" w:type="dxa"/>
                </w:tcPr>
                <w:p w14:paraId="7D5B9F98" w14:textId="25B09BB0"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 modülünün master/slave, transmitter/receiver, start, stop ve reset benzeri temel çalışma davranışlarını belirleyen ana kontrol register’ıdır.</w:t>
                  </w:r>
                </w:p>
              </w:tc>
              <w:tc>
                <w:tcPr>
                  <w:tcW w:w="3533" w:type="dxa"/>
                </w:tcPr>
                <w:p w14:paraId="3F068D1E" w14:textId="045E1EA6"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TMP117 ile haberleşmede modülün başlatılması, veri gönderme/alma yönünün belirlenmesi ve transfer akışının kontrolü için kullanılır.</w:t>
                  </w:r>
                </w:p>
              </w:tc>
            </w:tr>
            <w:tr w:rsidR="0064355B" w14:paraId="08AE10EC" w14:textId="77777777" w:rsidTr="009D76A5">
              <w:trPr>
                <w:trHeight w:val="478"/>
              </w:trPr>
              <w:tc>
                <w:tcPr>
                  <w:tcW w:w="1062" w:type="dxa"/>
                </w:tcPr>
                <w:p w14:paraId="17087EC6" w14:textId="77119F1C"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I2CPSC</w:t>
                  </w:r>
                </w:p>
              </w:tc>
              <w:tc>
                <w:tcPr>
                  <w:tcW w:w="1514" w:type="dxa"/>
                </w:tcPr>
                <w:p w14:paraId="3BF435AA" w14:textId="4749857B"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Modül saat önbölücüsü</w:t>
                  </w:r>
                </w:p>
              </w:tc>
              <w:tc>
                <w:tcPr>
                  <w:tcW w:w="2835" w:type="dxa"/>
                </w:tcPr>
                <w:p w14:paraId="22BB9C64" w14:textId="680A8851"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Sistem saatinden I2C modül iç saatini türetir. I2C haberleşmesinde önce modül iç saati oluşturulur, ardından bu saat üzerinden SCL frekansı elde edilir.</w:t>
                  </w:r>
                </w:p>
              </w:tc>
              <w:tc>
                <w:tcPr>
                  <w:tcW w:w="3533" w:type="dxa"/>
                </w:tcPr>
                <w:p w14:paraId="126B75CF" w14:textId="67DC6FA3"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 iç saatinin uygun aralığına getirilmesi ve haberleşme zamanlamasının temelinin oluşturulması için değerlendirilmiştir.</w:t>
                  </w:r>
                </w:p>
              </w:tc>
            </w:tr>
            <w:tr w:rsidR="0064355B" w14:paraId="46A43E6C" w14:textId="77777777" w:rsidTr="009D76A5">
              <w:trPr>
                <w:trHeight w:val="491"/>
              </w:trPr>
              <w:tc>
                <w:tcPr>
                  <w:tcW w:w="1062" w:type="dxa"/>
                </w:tcPr>
                <w:p w14:paraId="18CBEB41" w14:textId="152616D2"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I2CCLKL</w:t>
                  </w:r>
                </w:p>
              </w:tc>
              <w:tc>
                <w:tcPr>
                  <w:tcW w:w="1514" w:type="dxa"/>
                </w:tcPr>
                <w:p w14:paraId="620CD4F5" w14:textId="5086A371"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SCL low süresi ayarı</w:t>
                  </w:r>
                </w:p>
              </w:tc>
              <w:tc>
                <w:tcPr>
                  <w:tcW w:w="2835" w:type="dxa"/>
                </w:tcPr>
                <w:p w14:paraId="2152ABA0" w14:textId="7991868C"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SCL hattının düşük seviyede kalma süresini belirler.</w:t>
                  </w:r>
                </w:p>
              </w:tc>
              <w:tc>
                <w:tcPr>
                  <w:tcW w:w="3533" w:type="dxa"/>
                </w:tcPr>
                <w:p w14:paraId="7B8ECCD2" w14:textId="42F4B01A"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100 kHz I2C haberleşme hızının zamanlama bileşenlerinden biri olarak kullanılır.</w:t>
                  </w:r>
                </w:p>
              </w:tc>
            </w:tr>
            <w:tr w:rsidR="0064355B" w14:paraId="3F639C81" w14:textId="77777777" w:rsidTr="009D76A5">
              <w:trPr>
                <w:trHeight w:val="478"/>
              </w:trPr>
              <w:tc>
                <w:tcPr>
                  <w:tcW w:w="1062" w:type="dxa"/>
                </w:tcPr>
                <w:p w14:paraId="25FB9080" w14:textId="470256DA"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I2CCLKH</w:t>
                  </w:r>
                </w:p>
              </w:tc>
              <w:tc>
                <w:tcPr>
                  <w:tcW w:w="1514" w:type="dxa"/>
                </w:tcPr>
                <w:p w14:paraId="3EE33B1E" w14:textId="357A6EE7"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SCL high süresi ayarı</w:t>
                  </w:r>
                </w:p>
              </w:tc>
              <w:tc>
                <w:tcPr>
                  <w:tcW w:w="2835" w:type="dxa"/>
                </w:tcPr>
                <w:p w14:paraId="2E5FC5B7" w14:textId="7022BBDE"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SCL hattının yüksek seviyede kalma süresini belirler.</w:t>
                  </w:r>
                </w:p>
              </w:tc>
              <w:tc>
                <w:tcPr>
                  <w:tcW w:w="3533" w:type="dxa"/>
                </w:tcPr>
                <w:p w14:paraId="2B30D2D3" w14:textId="1CA5E864"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SCL clock darbesinin duty cycle ve toplam periyot ayarlarında kullanılır.</w:t>
                  </w:r>
                </w:p>
              </w:tc>
            </w:tr>
            <w:tr w:rsidR="0064355B" w14:paraId="691028C0" w14:textId="77777777" w:rsidTr="009D76A5">
              <w:trPr>
                <w:trHeight w:val="491"/>
              </w:trPr>
              <w:tc>
                <w:tcPr>
                  <w:tcW w:w="1062" w:type="dxa"/>
                </w:tcPr>
                <w:p w14:paraId="6B77D588" w14:textId="46D2DBE6"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t>I2CSAR</w:t>
                  </w:r>
                </w:p>
              </w:tc>
              <w:tc>
                <w:tcPr>
                  <w:tcW w:w="1514" w:type="dxa"/>
                </w:tcPr>
                <w:p w14:paraId="6F47A5FC" w14:textId="343306B8"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Hedef slave adresi</w:t>
                  </w:r>
                </w:p>
              </w:tc>
              <w:tc>
                <w:tcPr>
                  <w:tcW w:w="2835" w:type="dxa"/>
                </w:tcPr>
                <w:p w14:paraId="2AB79DD3" w14:textId="6FC11912"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Master modda haberleşilecek slave cihaz adresini tanımlar.</w:t>
                  </w:r>
                </w:p>
              </w:tc>
              <w:tc>
                <w:tcPr>
                  <w:tcW w:w="3533" w:type="dxa"/>
                </w:tcPr>
                <w:p w14:paraId="612E6312" w14:textId="523C2FE6"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TMP117 sensörünün I2C adresinin tanımlanması için kullanılır.</w:t>
                  </w:r>
                </w:p>
              </w:tc>
            </w:tr>
            <w:tr w:rsidR="0064355B" w14:paraId="6C5AD872" w14:textId="77777777" w:rsidTr="009D76A5">
              <w:trPr>
                <w:trHeight w:val="478"/>
              </w:trPr>
              <w:tc>
                <w:tcPr>
                  <w:tcW w:w="1062" w:type="dxa"/>
                </w:tcPr>
                <w:p w14:paraId="26EA711B" w14:textId="5E89C54C"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I2COAR</w:t>
                  </w:r>
                </w:p>
              </w:tc>
              <w:tc>
                <w:tcPr>
                  <w:tcW w:w="1514" w:type="dxa"/>
                </w:tcPr>
                <w:p w14:paraId="0B01F1AD" w14:textId="349D4089"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Kendi adres bilgisi</w:t>
                  </w:r>
                </w:p>
              </w:tc>
              <w:tc>
                <w:tcPr>
                  <w:tcW w:w="2835" w:type="dxa"/>
                </w:tcPr>
                <w:p w14:paraId="64A13DA8" w14:textId="1AFA20E0"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Modül slave/target olarak çalıştırıldığında kendi adres bilgisini tutar.</w:t>
                  </w:r>
                </w:p>
              </w:tc>
              <w:tc>
                <w:tcPr>
                  <w:tcW w:w="3533" w:type="dxa"/>
                </w:tcPr>
                <w:p w14:paraId="18C73EA2" w14:textId="79E69B00"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Bu projede ağırlıklı olarak master haberleşme yapısı incelendiğinden şuanlık kullanılmamıştır.</w:t>
                  </w:r>
                </w:p>
              </w:tc>
            </w:tr>
            <w:tr w:rsidR="0064355B" w14:paraId="1072680A" w14:textId="77777777" w:rsidTr="009D76A5">
              <w:trPr>
                <w:trHeight w:val="491"/>
              </w:trPr>
              <w:tc>
                <w:tcPr>
                  <w:tcW w:w="1062" w:type="dxa"/>
                </w:tcPr>
                <w:p w14:paraId="14566391" w14:textId="4E9FB208"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t>I2CCNT</w:t>
                  </w:r>
                </w:p>
              </w:tc>
              <w:tc>
                <w:tcPr>
                  <w:tcW w:w="1514" w:type="dxa"/>
                </w:tcPr>
                <w:p w14:paraId="51366C6B" w14:textId="34D76D95"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Byte sayacı</w:t>
                  </w:r>
                </w:p>
              </w:tc>
              <w:tc>
                <w:tcPr>
                  <w:tcW w:w="2835" w:type="dxa"/>
                </w:tcPr>
                <w:p w14:paraId="2FEA2E4C" w14:textId="5403EE31"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Transfer sırasında gönderilecek veya alınacak byte sayısını belirler.</w:t>
                  </w:r>
                </w:p>
              </w:tc>
              <w:tc>
                <w:tcPr>
                  <w:tcW w:w="3533" w:type="dxa"/>
                </w:tcPr>
                <w:p w14:paraId="45FEE2E4" w14:textId="13A97AAE"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Sensör register okuma/yazma işlemlerinde veri uzunluğunun tanımlanması için önemlidir.</w:t>
                  </w:r>
                </w:p>
              </w:tc>
            </w:tr>
            <w:tr w:rsidR="0064355B" w14:paraId="0A3AF367" w14:textId="77777777" w:rsidTr="009D76A5">
              <w:trPr>
                <w:trHeight w:val="478"/>
              </w:trPr>
              <w:tc>
                <w:tcPr>
                  <w:tcW w:w="1062" w:type="dxa"/>
                </w:tcPr>
                <w:p w14:paraId="100E0826" w14:textId="66782340"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t>I2CDXR</w:t>
                  </w:r>
                </w:p>
              </w:tc>
              <w:tc>
                <w:tcPr>
                  <w:tcW w:w="1514" w:type="dxa"/>
                </w:tcPr>
                <w:p w14:paraId="055B5C58" w14:textId="3715288F"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Veri gönderme register’ı</w:t>
                  </w:r>
                </w:p>
              </w:tc>
              <w:tc>
                <w:tcPr>
                  <w:tcW w:w="2835" w:type="dxa"/>
                </w:tcPr>
                <w:p w14:paraId="1CF25AD6" w14:textId="4A043A87"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Gönderilecek verinin yazıldığı transmit data register’ıdır.</w:t>
                  </w:r>
                </w:p>
              </w:tc>
              <w:tc>
                <w:tcPr>
                  <w:tcW w:w="3533" w:type="dxa"/>
                </w:tcPr>
                <w:p w14:paraId="1893866E" w14:textId="495E651C"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TMP117’ye register adresi veya konfigürasyon verisi yazılırken kullanılır.</w:t>
                  </w:r>
                </w:p>
              </w:tc>
            </w:tr>
            <w:tr w:rsidR="0064355B" w14:paraId="1643F785" w14:textId="77777777" w:rsidTr="009D76A5">
              <w:trPr>
                <w:trHeight w:val="491"/>
              </w:trPr>
              <w:tc>
                <w:tcPr>
                  <w:tcW w:w="1062" w:type="dxa"/>
                </w:tcPr>
                <w:p w14:paraId="129861BB" w14:textId="7CA3AB22"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t>I2CDRR</w:t>
                  </w:r>
                </w:p>
              </w:tc>
              <w:tc>
                <w:tcPr>
                  <w:tcW w:w="1514" w:type="dxa"/>
                </w:tcPr>
                <w:p w14:paraId="7AE9F5F5" w14:textId="5442D4EC"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Veri alma register’ı</w:t>
                  </w:r>
                </w:p>
              </w:tc>
              <w:tc>
                <w:tcPr>
                  <w:tcW w:w="2835" w:type="dxa"/>
                </w:tcPr>
                <w:p w14:paraId="7C8DAC97" w14:textId="648E110B"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 hattından alınan verinin tutulduğu receive data register’ıdır.</w:t>
                  </w:r>
                </w:p>
              </w:tc>
              <w:tc>
                <w:tcPr>
                  <w:tcW w:w="3533" w:type="dxa"/>
                </w:tcPr>
                <w:p w14:paraId="62230EF8" w14:textId="667ADF42"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TMP117 sıcaklık verisi ve ilgili register içeriklerinin okunmasında kullanılır.</w:t>
                  </w:r>
                </w:p>
              </w:tc>
            </w:tr>
            <w:tr w:rsidR="0064355B" w14:paraId="19DE28E9" w14:textId="77777777" w:rsidTr="009D76A5">
              <w:trPr>
                <w:trHeight w:val="478"/>
              </w:trPr>
              <w:tc>
                <w:tcPr>
                  <w:tcW w:w="1062" w:type="dxa"/>
                </w:tcPr>
                <w:p w14:paraId="487B68A1" w14:textId="43F76FC6" w:rsidR="0064355B" w:rsidRPr="006C3077" w:rsidRDefault="009D76A5" w:rsidP="009D76A5">
                  <w:pPr>
                    <w:jc w:val="center"/>
                    <w:rPr>
                      <w:rFonts w:asciiTheme="minorHAnsi" w:hAnsiTheme="minorHAnsi" w:cstheme="minorHAnsi"/>
                      <w:b/>
                      <w:sz w:val="16"/>
                      <w:szCs w:val="16"/>
                    </w:rPr>
                  </w:pPr>
                  <w:r w:rsidRPr="006C3077">
                    <w:rPr>
                      <w:rFonts w:asciiTheme="minorHAnsi" w:hAnsiTheme="minorHAnsi" w:cstheme="minorHAnsi"/>
                      <w:b/>
                      <w:sz w:val="16"/>
                      <w:szCs w:val="16"/>
                    </w:rPr>
                    <w:lastRenderedPageBreak/>
                    <w:t>I2CSTR</w:t>
                  </w:r>
                </w:p>
              </w:tc>
              <w:tc>
                <w:tcPr>
                  <w:tcW w:w="1514" w:type="dxa"/>
                </w:tcPr>
                <w:p w14:paraId="4169D4FC" w14:textId="5245C8F3"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Durum/flag register’ı</w:t>
                  </w:r>
                </w:p>
              </w:tc>
              <w:tc>
                <w:tcPr>
                  <w:tcW w:w="2835" w:type="dxa"/>
                </w:tcPr>
                <w:p w14:paraId="141CA1FD" w14:textId="652565F5"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ACK/NACK, bus busy, stop condition, arbitration lost ve benzeri durum bayraklarını içerir.</w:t>
                  </w:r>
                </w:p>
              </w:tc>
              <w:tc>
                <w:tcPr>
                  <w:tcW w:w="3533" w:type="dxa"/>
                </w:tcPr>
                <w:p w14:paraId="297F239B" w14:textId="5F42C358"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Haberleşmenin başarılı olup olmadığının izlenmesi ve hata durumlarının yakalanması için kritik önemdedir.</w:t>
                  </w:r>
                </w:p>
              </w:tc>
            </w:tr>
            <w:tr w:rsidR="0064355B" w14:paraId="4D1FF668" w14:textId="77777777" w:rsidTr="009D76A5">
              <w:trPr>
                <w:trHeight w:val="478"/>
              </w:trPr>
              <w:tc>
                <w:tcPr>
                  <w:tcW w:w="1062" w:type="dxa"/>
                </w:tcPr>
                <w:p w14:paraId="7AD43C4C" w14:textId="19726723"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I2CIER</w:t>
                  </w:r>
                </w:p>
              </w:tc>
              <w:tc>
                <w:tcPr>
                  <w:tcW w:w="1514" w:type="dxa"/>
                </w:tcPr>
                <w:p w14:paraId="3B1A1EA7" w14:textId="68F294C9"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Interrupt enable register</w:t>
                  </w:r>
                </w:p>
              </w:tc>
              <w:tc>
                <w:tcPr>
                  <w:tcW w:w="2835" w:type="dxa"/>
                </w:tcPr>
                <w:p w14:paraId="7416CDFF" w14:textId="2D6D41A1"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Hangi I2C olaylarının interrupt oluşturacağını belirler.</w:t>
                  </w:r>
                </w:p>
              </w:tc>
              <w:tc>
                <w:tcPr>
                  <w:tcW w:w="3533" w:type="dxa"/>
                </w:tcPr>
                <w:p w14:paraId="29E9ADF8" w14:textId="561E31DA"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İlerleyen aşamalarda polling yerine interrupt tabanlı yapıya geçiş için değerlendirilmiştir.</w:t>
                  </w:r>
                </w:p>
              </w:tc>
            </w:tr>
            <w:tr w:rsidR="0064355B" w14:paraId="07349524" w14:textId="77777777" w:rsidTr="009D76A5">
              <w:trPr>
                <w:trHeight w:val="491"/>
              </w:trPr>
              <w:tc>
                <w:tcPr>
                  <w:tcW w:w="1062" w:type="dxa"/>
                </w:tcPr>
                <w:p w14:paraId="5E3CC920" w14:textId="153A929A"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I2CISRC</w:t>
                  </w:r>
                </w:p>
              </w:tc>
              <w:tc>
                <w:tcPr>
                  <w:tcW w:w="1514" w:type="dxa"/>
                </w:tcPr>
                <w:p w14:paraId="5CFCA631" w14:textId="5A4E1BF6"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Interrupt source register</w:t>
                  </w:r>
                </w:p>
              </w:tc>
              <w:tc>
                <w:tcPr>
                  <w:tcW w:w="2835" w:type="dxa"/>
                </w:tcPr>
                <w:p w14:paraId="63809046" w14:textId="2319FBD8"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Oluşan interrupt’ın hangi kaynaktan geldiğini gösterir.</w:t>
                  </w:r>
                </w:p>
              </w:tc>
              <w:tc>
                <w:tcPr>
                  <w:tcW w:w="3533" w:type="dxa"/>
                </w:tcPr>
                <w:p w14:paraId="562BAB8A" w14:textId="2B9D6A41"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Veri hazır, stop, NACK veya FIFO seviyeleri gibi olayların ayrıştırılması için kullanılır.</w:t>
                  </w:r>
                </w:p>
              </w:tc>
            </w:tr>
            <w:tr w:rsidR="0064355B" w14:paraId="103BF98D" w14:textId="77777777" w:rsidTr="009D76A5">
              <w:trPr>
                <w:trHeight w:val="478"/>
              </w:trPr>
              <w:tc>
                <w:tcPr>
                  <w:tcW w:w="1062" w:type="dxa"/>
                </w:tcPr>
                <w:p w14:paraId="19922383" w14:textId="6D78A9B4"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I2CFFTX</w:t>
                  </w:r>
                </w:p>
              </w:tc>
              <w:tc>
                <w:tcPr>
                  <w:tcW w:w="1514" w:type="dxa"/>
                </w:tcPr>
                <w:p w14:paraId="16690613" w14:textId="57554FD0"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TX FIFO kontrolü</w:t>
                  </w:r>
                </w:p>
              </w:tc>
              <w:tc>
                <w:tcPr>
                  <w:tcW w:w="2835" w:type="dxa"/>
                </w:tcPr>
                <w:p w14:paraId="561AC431" w14:textId="575DA5B3"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Gönderme tarafı FIFO yapısının kontrol ve durum bilgisini içerir.</w:t>
                  </w:r>
                </w:p>
              </w:tc>
              <w:tc>
                <w:tcPr>
                  <w:tcW w:w="3533" w:type="dxa"/>
                </w:tcPr>
                <w:p w14:paraId="5BE57BF8" w14:textId="747AF981"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Çok baytlı veri gönderimlerinde işlemci yükünü azaltmak ve düzenli veri akışı sağlamak için önemlidir.</w:t>
                  </w:r>
                </w:p>
              </w:tc>
            </w:tr>
            <w:tr w:rsidR="0064355B" w14:paraId="7ED9143F" w14:textId="77777777" w:rsidTr="00DF7D7F">
              <w:trPr>
                <w:trHeight w:val="445"/>
              </w:trPr>
              <w:tc>
                <w:tcPr>
                  <w:tcW w:w="1062" w:type="dxa"/>
                </w:tcPr>
                <w:p w14:paraId="67E15FF3" w14:textId="2165B4A0" w:rsidR="0064355B" w:rsidRPr="006C3077" w:rsidRDefault="009D76A5"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I2CFFRX</w:t>
                  </w:r>
                </w:p>
              </w:tc>
              <w:tc>
                <w:tcPr>
                  <w:tcW w:w="1514" w:type="dxa"/>
                </w:tcPr>
                <w:p w14:paraId="4C2AE34A" w14:textId="31FD1896"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RX FIFO kontrolü</w:t>
                  </w:r>
                </w:p>
              </w:tc>
              <w:tc>
                <w:tcPr>
                  <w:tcW w:w="2835" w:type="dxa"/>
                </w:tcPr>
                <w:p w14:paraId="245E6AF2" w14:textId="4A314812"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Alma tarafı FIFO yapısının kontrol ve durum bilgisini içerir.</w:t>
                  </w:r>
                </w:p>
              </w:tc>
              <w:tc>
                <w:tcPr>
                  <w:tcW w:w="3533" w:type="dxa"/>
                </w:tcPr>
                <w:p w14:paraId="55399051" w14:textId="53E024ED" w:rsidR="0064355B" w:rsidRPr="006C3077" w:rsidRDefault="006C3077" w:rsidP="009D76A5">
                  <w:pPr>
                    <w:jc w:val="center"/>
                    <w:rPr>
                      <w:rFonts w:asciiTheme="minorHAnsi" w:hAnsiTheme="minorHAnsi" w:cstheme="minorHAnsi"/>
                      <w:bCs/>
                      <w:sz w:val="16"/>
                      <w:szCs w:val="16"/>
                    </w:rPr>
                  </w:pPr>
                  <w:r w:rsidRPr="006C3077">
                    <w:rPr>
                      <w:rFonts w:asciiTheme="minorHAnsi" w:hAnsiTheme="minorHAnsi" w:cstheme="minorHAnsi"/>
                      <w:bCs/>
                      <w:sz w:val="16"/>
                      <w:szCs w:val="16"/>
                    </w:rPr>
                    <w:t>Sensörden ardışık veri alımında daha verimli buffer yönetimi sağlamak için incelenmiştir.</w:t>
                  </w:r>
                </w:p>
              </w:tc>
            </w:tr>
          </w:tbl>
          <w:p w14:paraId="759D4296" w14:textId="434FB383" w:rsidR="00321678" w:rsidRPr="00740261" w:rsidRDefault="00740261" w:rsidP="00BF1756">
            <w:pPr>
              <w:rPr>
                <w:rFonts w:asciiTheme="majorHAnsi" w:hAnsiTheme="majorHAnsi"/>
                <w:bCs/>
              </w:rPr>
            </w:pPr>
            <w:r w:rsidRPr="00740261">
              <w:rPr>
                <w:rFonts w:asciiTheme="majorHAnsi" w:hAnsiTheme="majorHAnsi"/>
                <w:bCs/>
              </w:rPr>
              <w:t>Tablo üzerinde koyu biçimde belirtilen registerlar, TMP117 sıcaklık sensörü ile gerçekleştirilecek temel I2C haberleşme yapısında doğrudan kullanılan registerlar olarak öne çıkmıştır.</w:t>
            </w:r>
          </w:p>
          <w:p w14:paraId="7783AE29" w14:textId="261D6510" w:rsidR="000F11C6" w:rsidRPr="000F11C6" w:rsidRDefault="00740261" w:rsidP="00DF7D7F">
            <w:pPr>
              <w:rPr>
                <w:rFonts w:asciiTheme="majorHAnsi" w:hAnsiTheme="majorHAnsi"/>
                <w:bCs/>
              </w:rPr>
            </w:pPr>
            <w:r w:rsidRPr="00740261">
              <w:rPr>
                <w:rFonts w:asciiTheme="majorHAnsi" w:hAnsiTheme="majorHAnsi"/>
                <w:bCs/>
              </w:rPr>
              <w:t>Bu registerların incelenmesi sonucunda, sensörle haberleşmenin yalnızca yüksek seviyeli fonksiyon çağrılarından ibaret olmadığı; arka planda adresleme, veri uzunluğu, saat üretimi ve durum izleme gibi işlemlerin doğrudan register seviyesinde yönetildiği net biçimde anlaşılmıştır. Böylece ilerleyen aşamalarda gerçekleştirilecek sürücü geliştirme çalışmalarında kullanılacak donanım-yazılım etkileşiminin temeli oluşturulmuştur.</w:t>
            </w:r>
            <w:r w:rsidR="00DF7D7F" w:rsidRPr="00DF7D7F">
              <w:rPr>
                <w:rFonts w:asciiTheme="majorHAnsi" w:hAnsiTheme="majorHAnsi"/>
                <w:bCs/>
              </w:rPr>
              <w:t>Bu hafta sonunda ulaşılan temel teknik kazanım, C2000 serisi TI geliştirme kartı üzerindeki I2C modülünün çalışma mantığının anlaşılması ve TMP117 sıcaklık sensörü ile gerçekleştirilecek haberleşme altyapısının teorik olarak hazır hale getirilmesi olmuştur. Özellikle register map incelemesi sayesinde modül kontrolü, saat üretimi, veri yönü, veri uzunluğu ve hata/durum takibi gibi başlıkların hangi registerlar üzerinden yönetileceği belirlenmiştir. Bunun yanında sensör datasheet’i üzerinden register organizasyonu, cihaz adresleme yapısı ve sıcaklık verisinin işlenme mantığı incelenerek uygulama öncesi gerekli teknik altyapı oluşturulmuştur.</w:t>
            </w:r>
            <w:r w:rsidR="00DF7D7F">
              <w:rPr>
                <w:rFonts w:asciiTheme="majorHAnsi" w:hAnsiTheme="majorHAnsi"/>
                <w:bCs/>
              </w:rPr>
              <w:t xml:space="preserve"> </w:t>
            </w:r>
            <w:r w:rsidR="00DF7D7F" w:rsidRPr="00DF7D7F">
              <w:rPr>
                <w:rFonts w:asciiTheme="majorHAnsi" w:hAnsiTheme="majorHAnsi"/>
                <w:bCs/>
              </w:rPr>
              <w:t>Bu çalışmalar, ilerleyen haftalarda gerçekleştirilecek I2C başlatma, sensörden veri okuma, sıcaklık verisinin doğrulanması ve yazılım tarafında sürücü yapısının geliştirilmesi için hazırlık niteliği taşımaktadır. Dolayısıyla bu hafta, uygulama öncesi teorik altyapının oluşturulduğu ve donanım-yazılım entegrasyonunun ilk aşamasının tamamlandığı bir çalışma dönemi olmuştur.</w:t>
            </w:r>
          </w:p>
        </w:tc>
      </w:tr>
    </w:tbl>
    <w:p w14:paraId="283A2162" w14:textId="77777777" w:rsidR="00F40D70" w:rsidRPr="003235DF"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3235DF" w14:paraId="3E635BA4" w14:textId="77777777" w:rsidTr="00BF1756">
        <w:tc>
          <w:tcPr>
            <w:tcW w:w="1666" w:type="pct"/>
            <w:vAlign w:val="center"/>
          </w:tcPr>
          <w:p w14:paraId="591F71AF" w14:textId="77777777" w:rsidR="00F40D70" w:rsidRPr="003235DF" w:rsidRDefault="00F40D70" w:rsidP="002B45C6">
            <w:pPr>
              <w:spacing w:after="0"/>
              <w:jc w:val="center"/>
              <w:rPr>
                <w:rFonts w:asciiTheme="majorHAnsi" w:hAnsiTheme="majorHAnsi"/>
                <w:b/>
                <w:sz w:val="24"/>
              </w:rPr>
            </w:pPr>
            <w:r w:rsidRPr="003235DF">
              <w:rPr>
                <w:rFonts w:asciiTheme="majorHAnsi" w:hAnsiTheme="majorHAnsi"/>
                <w:b/>
                <w:sz w:val="24"/>
              </w:rPr>
              <w:t>Aday Mühendisin İmzası</w:t>
            </w:r>
          </w:p>
        </w:tc>
        <w:tc>
          <w:tcPr>
            <w:tcW w:w="1666" w:type="pct"/>
            <w:vAlign w:val="center"/>
          </w:tcPr>
          <w:p w14:paraId="2659328C" w14:textId="77777777" w:rsidR="00F40D70" w:rsidRPr="003235DF" w:rsidRDefault="00F40D70" w:rsidP="002B45C6">
            <w:pPr>
              <w:spacing w:after="0"/>
              <w:jc w:val="center"/>
              <w:rPr>
                <w:rFonts w:asciiTheme="majorHAnsi" w:hAnsiTheme="majorHAnsi"/>
                <w:b/>
                <w:sz w:val="24"/>
              </w:rPr>
            </w:pPr>
            <w:r w:rsidRPr="003235DF">
              <w:rPr>
                <w:rFonts w:asciiTheme="majorHAnsi" w:hAnsiTheme="majorHAnsi"/>
                <w:b/>
                <w:sz w:val="24"/>
              </w:rPr>
              <w:t>UMDE Sorumlusu İmzası</w:t>
            </w:r>
          </w:p>
        </w:tc>
        <w:tc>
          <w:tcPr>
            <w:tcW w:w="1667" w:type="pct"/>
            <w:vAlign w:val="center"/>
          </w:tcPr>
          <w:p w14:paraId="46F4F4E2" w14:textId="77777777" w:rsidR="00F40D70" w:rsidRPr="003235DF" w:rsidRDefault="007623BF" w:rsidP="002B45C6">
            <w:pPr>
              <w:spacing w:after="0"/>
              <w:jc w:val="center"/>
              <w:rPr>
                <w:rFonts w:asciiTheme="majorHAnsi" w:hAnsiTheme="majorHAnsi"/>
                <w:b/>
                <w:sz w:val="24"/>
              </w:rPr>
            </w:pPr>
            <w:r w:rsidRPr="003235DF">
              <w:rPr>
                <w:rFonts w:asciiTheme="majorHAnsi" w:hAnsiTheme="majorHAnsi"/>
                <w:b/>
              </w:rPr>
              <w:t xml:space="preserve">Danışman Öğretim Üyesi/Görevlisi </w:t>
            </w:r>
            <w:r w:rsidR="00F40D70" w:rsidRPr="003235DF">
              <w:rPr>
                <w:rFonts w:asciiTheme="majorHAnsi" w:hAnsiTheme="majorHAnsi"/>
                <w:b/>
                <w:sz w:val="24"/>
              </w:rPr>
              <w:t>İmzası</w:t>
            </w:r>
          </w:p>
        </w:tc>
      </w:tr>
      <w:tr w:rsidR="00F40D70" w:rsidRPr="003235DF" w14:paraId="06BD233A" w14:textId="77777777" w:rsidTr="00BF1756">
        <w:tc>
          <w:tcPr>
            <w:tcW w:w="1666" w:type="pct"/>
            <w:vAlign w:val="center"/>
          </w:tcPr>
          <w:p w14:paraId="04BF7EBE" w14:textId="77777777" w:rsidR="00F40D70" w:rsidRPr="003235DF" w:rsidRDefault="00F40D70" w:rsidP="002B45C6">
            <w:pPr>
              <w:spacing w:after="0"/>
              <w:jc w:val="center"/>
              <w:rPr>
                <w:rFonts w:asciiTheme="majorHAnsi" w:hAnsiTheme="majorHAnsi"/>
                <w:b/>
              </w:rPr>
            </w:pPr>
          </w:p>
          <w:p w14:paraId="34640E7F" w14:textId="77777777" w:rsidR="002B45C6" w:rsidRPr="003235DF" w:rsidRDefault="002B45C6" w:rsidP="00DF7D7F">
            <w:pPr>
              <w:spacing w:after="0"/>
              <w:rPr>
                <w:rFonts w:asciiTheme="majorHAnsi" w:hAnsiTheme="majorHAnsi"/>
                <w:b/>
              </w:rPr>
            </w:pPr>
          </w:p>
        </w:tc>
        <w:tc>
          <w:tcPr>
            <w:tcW w:w="1666" w:type="pct"/>
            <w:vAlign w:val="center"/>
          </w:tcPr>
          <w:p w14:paraId="7D8CF7F9" w14:textId="77777777" w:rsidR="00F40D70" w:rsidRPr="003235DF" w:rsidRDefault="00F40D70" w:rsidP="002B45C6">
            <w:pPr>
              <w:spacing w:after="0"/>
              <w:jc w:val="center"/>
              <w:rPr>
                <w:rFonts w:asciiTheme="majorHAnsi" w:hAnsiTheme="majorHAnsi"/>
                <w:b/>
              </w:rPr>
            </w:pPr>
          </w:p>
          <w:p w14:paraId="2412037F" w14:textId="77777777" w:rsidR="00F40D70" w:rsidRPr="003235DF" w:rsidRDefault="00F40D70" w:rsidP="002B45C6">
            <w:pPr>
              <w:spacing w:after="0"/>
              <w:jc w:val="center"/>
              <w:rPr>
                <w:rFonts w:asciiTheme="majorHAnsi" w:hAnsiTheme="majorHAnsi"/>
                <w:b/>
              </w:rPr>
            </w:pPr>
          </w:p>
        </w:tc>
        <w:tc>
          <w:tcPr>
            <w:tcW w:w="1667" w:type="pct"/>
            <w:vAlign w:val="center"/>
          </w:tcPr>
          <w:p w14:paraId="621CD250" w14:textId="77777777" w:rsidR="00F40D70" w:rsidRPr="003235DF"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10"/>
      <w:footerReference w:type="default" r:id="rId11"/>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1FE7" w14:textId="77777777" w:rsidR="001A70F1" w:rsidRPr="003235DF" w:rsidRDefault="001A70F1" w:rsidP="002F26D0">
      <w:pPr>
        <w:spacing w:after="0" w:line="240" w:lineRule="auto"/>
      </w:pPr>
      <w:r w:rsidRPr="003235DF">
        <w:separator/>
      </w:r>
    </w:p>
  </w:endnote>
  <w:endnote w:type="continuationSeparator" w:id="0">
    <w:p w14:paraId="3735B543" w14:textId="77777777" w:rsidR="001A70F1" w:rsidRPr="003235DF" w:rsidRDefault="001A70F1" w:rsidP="002F26D0">
      <w:pPr>
        <w:spacing w:after="0" w:line="240" w:lineRule="auto"/>
      </w:pPr>
      <w:r w:rsidRPr="003235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3235DF" w:rsidRDefault="00387C51">
    <w:pPr>
      <w:pStyle w:val="Footer"/>
      <w:jc w:val="right"/>
    </w:pPr>
    <w:r w:rsidRPr="003235DF">
      <w:fldChar w:fldCharType="begin"/>
    </w:r>
    <w:r w:rsidR="00E020DE" w:rsidRPr="003235DF">
      <w:instrText>PAGE   \* MERGEFORMAT</w:instrText>
    </w:r>
    <w:r w:rsidRPr="003235DF">
      <w:fldChar w:fldCharType="separate"/>
    </w:r>
    <w:r w:rsidR="002B45C6" w:rsidRPr="003235DF">
      <w:t>1</w:t>
    </w:r>
    <w:r w:rsidRPr="003235DF">
      <w:fldChar w:fldCharType="end"/>
    </w:r>
  </w:p>
  <w:p w14:paraId="607B582A" w14:textId="77777777" w:rsidR="00194645" w:rsidRPr="003235DF"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0868" w14:textId="77777777" w:rsidR="001A70F1" w:rsidRPr="003235DF" w:rsidRDefault="001A70F1" w:rsidP="002F26D0">
      <w:pPr>
        <w:spacing w:after="0" w:line="240" w:lineRule="auto"/>
      </w:pPr>
      <w:r w:rsidRPr="003235DF">
        <w:separator/>
      </w:r>
    </w:p>
  </w:footnote>
  <w:footnote w:type="continuationSeparator" w:id="0">
    <w:p w14:paraId="5F8CEF82" w14:textId="77777777" w:rsidR="001A70F1" w:rsidRPr="003235DF" w:rsidRDefault="001A70F1" w:rsidP="002F26D0">
      <w:pPr>
        <w:spacing w:after="0" w:line="240" w:lineRule="auto"/>
      </w:pPr>
      <w:r w:rsidRPr="003235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3235DF" w14:paraId="2C5598D6" w14:textId="77777777" w:rsidTr="00B411ED">
      <w:trPr>
        <w:trHeight w:val="1546"/>
        <w:jc w:val="center"/>
      </w:trPr>
      <w:tc>
        <w:tcPr>
          <w:tcW w:w="738" w:type="pct"/>
        </w:tcPr>
        <w:p w14:paraId="59A5E292" w14:textId="77777777" w:rsidR="00B411ED" w:rsidRPr="003235DF" w:rsidRDefault="00B411ED" w:rsidP="00414B7A">
          <w:pPr>
            <w:spacing w:after="0" w:line="240" w:lineRule="auto"/>
            <w:jc w:val="center"/>
            <w:rPr>
              <w:rFonts w:ascii="Arial" w:hAnsi="Arial" w:cs="Arial"/>
              <w:b/>
              <w:bCs/>
              <w:sz w:val="20"/>
              <w:szCs w:val="20"/>
            </w:rPr>
          </w:pPr>
          <w:r w:rsidRPr="003235DF">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3235DF" w:rsidRDefault="00B411ED" w:rsidP="00B411ED">
          <w:pPr>
            <w:spacing w:after="0" w:line="240" w:lineRule="auto"/>
            <w:jc w:val="center"/>
            <w:rPr>
              <w:rFonts w:ascii="Arial" w:hAnsi="Arial" w:cs="Arial"/>
              <w:b/>
              <w:bCs/>
              <w:sz w:val="24"/>
              <w:szCs w:val="24"/>
            </w:rPr>
          </w:pPr>
          <w:r w:rsidRPr="003235DF">
            <w:rPr>
              <w:rFonts w:ascii="Arial" w:hAnsi="Arial" w:cs="Arial"/>
              <w:b/>
              <w:bCs/>
              <w:sz w:val="24"/>
              <w:szCs w:val="24"/>
            </w:rPr>
            <w:t>T.C.</w:t>
          </w:r>
        </w:p>
        <w:p w14:paraId="1B0A04AD" w14:textId="77777777" w:rsidR="00B411ED" w:rsidRPr="003235DF" w:rsidRDefault="00B411ED" w:rsidP="00B411ED">
          <w:pPr>
            <w:spacing w:after="0" w:line="240" w:lineRule="auto"/>
            <w:jc w:val="center"/>
            <w:rPr>
              <w:rFonts w:ascii="Arial" w:hAnsi="Arial" w:cs="Arial"/>
              <w:b/>
              <w:bCs/>
              <w:sz w:val="24"/>
              <w:szCs w:val="24"/>
            </w:rPr>
          </w:pPr>
          <w:r w:rsidRPr="003235DF">
            <w:rPr>
              <w:rFonts w:ascii="Arial" w:hAnsi="Arial" w:cs="Arial"/>
              <w:b/>
              <w:bCs/>
              <w:sz w:val="24"/>
              <w:szCs w:val="24"/>
            </w:rPr>
            <w:t>SAKARYA ÜNİVERSİTESİ</w:t>
          </w:r>
        </w:p>
        <w:p w14:paraId="6A621A17" w14:textId="77777777" w:rsidR="00B411ED" w:rsidRPr="003235DF" w:rsidRDefault="00B411ED" w:rsidP="00B411ED">
          <w:pPr>
            <w:spacing w:after="0" w:line="240" w:lineRule="auto"/>
            <w:jc w:val="center"/>
            <w:rPr>
              <w:rFonts w:ascii="Arial" w:hAnsi="Arial" w:cs="Arial"/>
              <w:b/>
              <w:bCs/>
              <w:sz w:val="24"/>
              <w:szCs w:val="24"/>
            </w:rPr>
          </w:pPr>
          <w:r w:rsidRPr="003235DF">
            <w:rPr>
              <w:rFonts w:ascii="Arial" w:hAnsi="Arial" w:cs="Arial"/>
              <w:b/>
              <w:bCs/>
              <w:sz w:val="24"/>
              <w:szCs w:val="24"/>
            </w:rPr>
            <w:t>MÜHENDİSLİK FAKÜLTESİ</w:t>
          </w:r>
        </w:p>
        <w:p w14:paraId="508FDBDE" w14:textId="77777777" w:rsidR="00B411ED" w:rsidRPr="003235DF" w:rsidRDefault="00B411ED" w:rsidP="00B411ED">
          <w:pPr>
            <w:spacing w:after="0" w:line="240" w:lineRule="auto"/>
            <w:jc w:val="center"/>
            <w:rPr>
              <w:rFonts w:ascii="Arial" w:hAnsi="Arial" w:cs="Arial"/>
              <w:b/>
              <w:bCs/>
              <w:sz w:val="24"/>
              <w:szCs w:val="24"/>
            </w:rPr>
          </w:pPr>
          <w:r w:rsidRPr="003235DF">
            <w:rPr>
              <w:rFonts w:ascii="Arial" w:hAnsi="Arial" w:cs="Arial"/>
              <w:b/>
              <w:bCs/>
              <w:sz w:val="24"/>
              <w:szCs w:val="24"/>
            </w:rPr>
            <w:t>UYGULAMALI MÜHENDİSLİK DENEYİMİ EĞİTİMİ (UMDE)</w:t>
          </w:r>
        </w:p>
      </w:tc>
      <w:tc>
        <w:tcPr>
          <w:tcW w:w="523" w:type="pct"/>
          <w:vAlign w:val="bottom"/>
        </w:tcPr>
        <w:p w14:paraId="39F2A2A0" w14:textId="77777777" w:rsidR="00B411ED" w:rsidRPr="003235DF" w:rsidRDefault="00B411ED" w:rsidP="00B411ED">
          <w:pPr>
            <w:pStyle w:val="Header"/>
            <w:jc w:val="right"/>
            <w:rPr>
              <w:rFonts w:ascii="Arial" w:hAnsi="Arial" w:cs="Arial"/>
              <w:b/>
              <w:sz w:val="20"/>
              <w:szCs w:val="20"/>
            </w:rPr>
          </w:pPr>
        </w:p>
      </w:tc>
    </w:tr>
  </w:tbl>
  <w:p w14:paraId="6AD512DF" w14:textId="77777777" w:rsidR="00414B7A" w:rsidRPr="003235DF" w:rsidRDefault="00414B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B224B"/>
    <w:rsid w:val="000B5AE8"/>
    <w:rsid w:val="000D0BBF"/>
    <w:rsid w:val="000D1F63"/>
    <w:rsid w:val="000F073B"/>
    <w:rsid w:val="000F11C6"/>
    <w:rsid w:val="0011196C"/>
    <w:rsid w:val="00112A07"/>
    <w:rsid w:val="0012494A"/>
    <w:rsid w:val="00142870"/>
    <w:rsid w:val="001518AB"/>
    <w:rsid w:val="00155C2B"/>
    <w:rsid w:val="00163ABE"/>
    <w:rsid w:val="001671AD"/>
    <w:rsid w:val="00175E79"/>
    <w:rsid w:val="001767FE"/>
    <w:rsid w:val="00183D6F"/>
    <w:rsid w:val="00194645"/>
    <w:rsid w:val="001A70F1"/>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1678"/>
    <w:rsid w:val="003235DF"/>
    <w:rsid w:val="0032407A"/>
    <w:rsid w:val="00341531"/>
    <w:rsid w:val="00342060"/>
    <w:rsid w:val="00355F8D"/>
    <w:rsid w:val="00367E03"/>
    <w:rsid w:val="00384118"/>
    <w:rsid w:val="00386B5D"/>
    <w:rsid w:val="00387C51"/>
    <w:rsid w:val="003B044F"/>
    <w:rsid w:val="003B34E5"/>
    <w:rsid w:val="003C2C49"/>
    <w:rsid w:val="003D5510"/>
    <w:rsid w:val="004000C3"/>
    <w:rsid w:val="00413A52"/>
    <w:rsid w:val="00414B7A"/>
    <w:rsid w:val="00441460"/>
    <w:rsid w:val="004500B7"/>
    <w:rsid w:val="00454C7D"/>
    <w:rsid w:val="004743F5"/>
    <w:rsid w:val="00477523"/>
    <w:rsid w:val="004A5293"/>
    <w:rsid w:val="004C7ACB"/>
    <w:rsid w:val="004F2CFD"/>
    <w:rsid w:val="0050181D"/>
    <w:rsid w:val="00501BAE"/>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55B"/>
    <w:rsid w:val="00643DD9"/>
    <w:rsid w:val="00656840"/>
    <w:rsid w:val="00664BBA"/>
    <w:rsid w:val="006665F5"/>
    <w:rsid w:val="0068016B"/>
    <w:rsid w:val="00687179"/>
    <w:rsid w:val="006A6603"/>
    <w:rsid w:val="006C05F0"/>
    <w:rsid w:val="006C3077"/>
    <w:rsid w:val="006C3671"/>
    <w:rsid w:val="006C5304"/>
    <w:rsid w:val="006E3D93"/>
    <w:rsid w:val="006E575B"/>
    <w:rsid w:val="006F61C7"/>
    <w:rsid w:val="006F77BA"/>
    <w:rsid w:val="0071788E"/>
    <w:rsid w:val="00730C84"/>
    <w:rsid w:val="00740261"/>
    <w:rsid w:val="00740C3B"/>
    <w:rsid w:val="00744F16"/>
    <w:rsid w:val="00751370"/>
    <w:rsid w:val="0075521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C7F30"/>
    <w:rsid w:val="009C7FAE"/>
    <w:rsid w:val="009D76A5"/>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3003D"/>
    <w:rsid w:val="00C41EF4"/>
    <w:rsid w:val="00C567E3"/>
    <w:rsid w:val="00C62294"/>
    <w:rsid w:val="00C63363"/>
    <w:rsid w:val="00C70BFA"/>
    <w:rsid w:val="00C77FB7"/>
    <w:rsid w:val="00CA0EC5"/>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B6BFC"/>
    <w:rsid w:val="00DD301B"/>
    <w:rsid w:val="00DD3AC4"/>
    <w:rsid w:val="00DD6809"/>
    <w:rsid w:val="00DF1D38"/>
    <w:rsid w:val="00DF7D7F"/>
    <w:rsid w:val="00E00B5F"/>
    <w:rsid w:val="00E01C7E"/>
    <w:rsid w:val="00E020DE"/>
    <w:rsid w:val="00E2151F"/>
    <w:rsid w:val="00E249F6"/>
    <w:rsid w:val="00E57B2B"/>
    <w:rsid w:val="00E62533"/>
    <w:rsid w:val="00E91C2B"/>
    <w:rsid w:val="00ED3937"/>
    <w:rsid w:val="00EE1E75"/>
    <w:rsid w:val="00EE2794"/>
    <w:rsid w:val="00F066EB"/>
    <w:rsid w:val="00F06D41"/>
    <w:rsid w:val="00F37FBA"/>
    <w:rsid w:val="00F40D70"/>
    <w:rsid w:val="00F526C6"/>
    <w:rsid w:val="00F54612"/>
    <w:rsid w:val="00F5748A"/>
    <w:rsid w:val="00F60890"/>
    <w:rsid w:val="00F6496B"/>
    <w:rsid w:val="00F74C1D"/>
    <w:rsid w:val="00F95429"/>
    <w:rsid w:val="00FD75E3"/>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paragraph" w:styleId="Caption">
    <w:name w:val="caption"/>
    <w:basedOn w:val="Normal"/>
    <w:next w:val="Normal"/>
    <w:unhideWhenUsed/>
    <w:qFormat/>
    <w:locked/>
    <w:rsid w:val="0075521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1267</Words>
  <Characters>8978</Characters>
  <Application>Microsoft Office Word</Application>
  <DocSecurity>0</DocSecurity>
  <Lines>224</Lines>
  <Paragraphs>105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NIRVANA</dc:creator>
  <cp:lastModifiedBy>Atakan Çalışkan</cp:lastModifiedBy>
  <cp:revision>7</cp:revision>
  <cp:lastPrinted>2012-12-11T09:04:00Z</cp:lastPrinted>
  <dcterms:created xsi:type="dcterms:W3CDTF">2021-07-06T20:39:00Z</dcterms:created>
  <dcterms:modified xsi:type="dcterms:W3CDTF">2026-03-11T21:21:00Z</dcterms:modified>
</cp:coreProperties>
</file>