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TerminUstası veri ve teknoloji uygulama planı</w:t>
      </w:r>
    </w:p>
    <w:p>
      <w:pPr>
        <w:pStyle w:val="Subtitle"/>
      </w:pPr>
      <w:r>
        <w:t>Türkiye’de fason metal imalatı için yarışma prototipi ve sonraki ürün aşaması</w:t>
      </w:r>
    </w:p>
    <w:p>
      <w:r>
        <w:t>Plan tarihi 16 Ekim 2026</w:t>
      </w:r>
    </w:p>
    <w:p>
      <w:r>
        <w:t>Önce doğru bir üretim çizelgesi kurulur, ardından gerçek kayıtlardan süre tahmini eklenir. Türkçe talep girişi ve geçmiş iş araması bu çalışan hattı kullanır. Ek ücret karşılığında öncelik, bu temel doğrulandıktan sonra ayrı bir ticari karar katmanı olarak geliştirilir.</w:t>
      </w:r>
    </w:p>
    <w:p>
      <w:pPr>
        <w:pStyle w:val="Heading2"/>
      </w:pPr>
      <w:r>
        <w:t>Kapsam kararı</w:t>
      </w:r>
    </w:p>
    <w:p>
      <w:r>
        <w:t>İlk hedef, yeni siparişin mevcut işlerin bitişini nasıl değiştirdiğini göstermek ve devam eden işlere ilişkin süreleri incelemektir. Yarışma prototipi, bir Türk fason metal atölyesini temsil eden küçük senaryoyla sunulur. Gerçek üretim kayıtları ile eklenen demo varsayımları ayrı tutulur.</w:t>
      </w:r>
    </w:p>
    <w:p>
      <w:r>
        <w:t>Ücretli öncelik henüz geliştirilmiş değildir. Acil bir işi ücretsiz bir senaryo olarak öne alıp etkisini hesaplamak, ek ücret belirlemek ve ödeme almakla aynı özellik değildir.</w:t>
      </w:r>
    </w:p>
    <w:p>
      <w:pPr>
        <w:pStyle w:val="Heading2"/>
      </w:pPr>
      <w:r>
        <w:t>Aşamalar ve kullanım zamanı</w:t>
      </w:r>
    </w:p>
    <w:tbl>
      <w:tblPr>
        <w:tblW w:type="auto" w:w="0"/>
        <w:jc w:val="center"/>
        <w:tblLayout w:type="fixed"/>
        <w:tblLook w:firstColumn="1" w:firstRow="1" w:lastColumn="0" w:lastRow="0" w:noHBand="0" w:noVBand="1" w:val="04A0"/>
      </w:tblPr>
      <w:tblGrid>
        <w:gridCol w:w="792"/>
        <w:gridCol w:w="1224"/>
        <w:gridCol w:w="4104"/>
        <w:gridCol w:w="4104"/>
      </w:tblGrid>
      <w:tr>
        <w:trPr>
          <w:cantSplit/>
          <w:tblHeader/>
        </w:trPr>
        <w:tc>
          <w:tcPr>
            <w:tcW w:type="dxa" w:w="792"/>
            <w:vAlign w:val="center"/>
            <w:shd w:fill="24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9"/>
              </w:rPr>
              <w:t>Aşama</w:t>
            </w:r>
          </w:p>
        </w:tc>
        <w:tc>
          <w:tcPr>
            <w:tcW w:type="dxa" w:w="1224"/>
            <w:vAlign w:val="center"/>
            <w:shd w:fill="24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9"/>
              </w:rPr>
              <w:t>Zaman</w:t>
            </w:r>
          </w:p>
        </w:tc>
        <w:tc>
          <w:tcPr>
            <w:tcW w:type="dxa" w:w="4104"/>
            <w:vAlign w:val="center"/>
            <w:shd w:fill="24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9"/>
              </w:rPr>
              <w:t>Veri ve teknoloji</w:t>
            </w:r>
          </w:p>
        </w:tc>
        <w:tc>
          <w:tcPr>
            <w:tcW w:type="dxa" w:w="4104"/>
            <w:vAlign w:val="center"/>
            <w:shd w:fill="24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9"/>
              </w:rPr>
              <w:t>Somut çıktı</w:t>
            </w:r>
          </w:p>
        </w:tc>
      </w:tr>
      <w:tr>
        <w:trPr>
          <w:cantSplit/>
        </w:trPr>
        <w:tc>
          <w:tcPr>
            <w:tcW w:type="dxa" w:w="79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9"/>
              </w:rPr>
              <w:t>1</w:t>
            </w:r>
          </w:p>
        </w:tc>
        <w:tc>
          <w:tcPr>
            <w:tcW w:type="dxa" w:w="122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9"/>
              </w:rPr>
              <w:t>16 Ekim</w:t>
            </w:r>
          </w:p>
        </w:tc>
        <w:tc>
          <w:tcPr>
            <w:tcW w:type="dxa" w:w="410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9"/>
              </w:rPr>
              <w:t>Brandimarte Mk01; depo ortamı; CP-SAT</w:t>
            </w:r>
          </w:p>
        </w:tc>
        <w:tc>
          <w:tcPr>
            <w:tcW w:type="dxa" w:w="410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9"/>
              </w:rPr>
              <w:t>Geçerli ilk çizelge</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9"/>
              </w:rPr>
              <w:t>2</w:t>
            </w:r>
          </w:p>
        </w:tc>
        <w:tc>
          <w:tcPr>
            <w:tcW w:type="dxa" w:w="122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9"/>
              </w:rPr>
              <w:t>16 Ekim</w:t>
            </w:r>
          </w:p>
        </w:tc>
        <w:tc>
          <w:tcPr>
            <w:tcW w:type="dxa" w:w="41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9"/>
              </w:rPr>
              <w:t>10 Brandimarte problemi; basit öncelik kuralı</w:t>
            </w:r>
          </w:p>
        </w:tc>
        <w:tc>
          <w:tcPr>
            <w:tcW w:type="dxa" w:w="41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9"/>
              </w:rPr>
              <w:t>Karşılaştırma ve hata denetimi</w:t>
            </w:r>
          </w:p>
        </w:tc>
      </w:tr>
      <w:tr>
        <w:trPr>
          <w:cantSplit/>
        </w:trPr>
        <w:tc>
          <w:tcPr>
            <w:tcW w:type="dxa" w:w="79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9"/>
              </w:rPr>
              <w:t>3</w:t>
            </w:r>
          </w:p>
        </w:tc>
        <w:tc>
          <w:tcPr>
            <w:tcW w:type="dxa" w:w="122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9"/>
              </w:rPr>
              <w:t>17 Ekim</w:t>
            </w:r>
          </w:p>
        </w:tc>
        <w:tc>
          <w:tcPr>
            <w:tcW w:type="dxa" w:w="410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9"/>
              </w:rPr>
              <w:t>Production Analysis; pandas; TabPFN</w:t>
            </w:r>
          </w:p>
        </w:tc>
        <w:tc>
          <w:tcPr>
            <w:tcW w:type="dxa" w:w="410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9"/>
              </w:rPr>
              <w:t>Bağımsız süre tahmini deneyi</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9"/>
              </w:rPr>
              <w:t>4</w:t>
            </w:r>
          </w:p>
        </w:tc>
        <w:tc>
          <w:tcPr>
            <w:tcW w:type="dxa" w:w="122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9"/>
              </w:rPr>
              <w:t>17 Ekim</w:t>
            </w:r>
          </w:p>
        </w:tc>
        <w:tc>
          <w:tcPr>
            <w:tcW w:type="dxa" w:w="41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9"/>
              </w:rPr>
              <w:t>Ortak şema; özel problem adaptörü; CP-SAT</w:t>
            </w:r>
          </w:p>
        </w:tc>
        <w:tc>
          <w:tcPr>
            <w:tcW w:type="dxa" w:w="41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9"/>
              </w:rPr>
              <w:t>Tahmin ve planlamanın birleşmesi</w:t>
            </w:r>
          </w:p>
        </w:tc>
      </w:tr>
      <w:tr>
        <w:trPr>
          <w:cantSplit/>
        </w:trPr>
        <w:tc>
          <w:tcPr>
            <w:tcW w:type="dxa" w:w="79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9"/>
              </w:rPr>
              <w:t>5</w:t>
            </w:r>
          </w:p>
        </w:tc>
        <w:tc>
          <w:tcPr>
            <w:tcW w:type="dxa" w:w="122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9"/>
              </w:rPr>
              <w:t>18 Ekim</w:t>
            </w:r>
          </w:p>
        </w:tc>
        <w:tc>
          <w:tcPr>
            <w:tcW w:type="dxa" w:w="410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9"/>
              </w:rPr>
              <w:t>Gemma; EmbeddingGemma 2; Streamlit; Plotly</w:t>
            </w:r>
          </w:p>
        </w:tc>
        <w:tc>
          <w:tcPr>
            <w:tcW w:type="dxa" w:w="410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9"/>
              </w:rPr>
              <w:t>Türkçe uçtan uca demo</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9"/>
              </w:rPr>
              <w:t>6</w:t>
            </w:r>
          </w:p>
        </w:tc>
        <w:tc>
          <w:tcPr>
            <w:tcW w:type="dxa" w:w="122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9"/>
              </w:rPr>
              <w:t>Temel doğrulanınca</w:t>
            </w:r>
          </w:p>
        </w:tc>
        <w:tc>
          <w:tcPr>
            <w:tcW w:type="dxa" w:w="41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9"/>
              </w:rPr>
              <w:t>FJSP-SDST; hazırlık ve maliyet girdileri</w:t>
            </w:r>
          </w:p>
        </w:tc>
        <w:tc>
          <w:tcPr>
            <w:tcW w:type="dxa" w:w="41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9"/>
              </w:rPr>
              <w:t>Ücretli öncelik teklifi</w:t>
            </w:r>
          </w:p>
        </w:tc>
      </w:tr>
    </w:tbl>
    <w:p/>
    <w:p>
      <w:r>
        <w:t>Tarihler çalışma hedefidir; her aşama bir öncekinin çıkış koşuluyla açılır. Sonraki aşamaya yetişmek için başarısız bir kontrol atlanmaz.</w:t>
      </w:r>
    </w:p>
    <w:p>
      <w:r>
        <w:br w:type="page"/>
      </w:r>
    </w:p>
    <w:p>
      <w:pPr>
        <w:pStyle w:val="Heading1"/>
      </w:pPr>
      <w:r>
        <w:t>Veri kaynakları ve kullanım sınırları</w:t>
      </w:r>
    </w:p>
    <w:tbl>
      <w:tblPr>
        <w:tblW w:type="auto" w:w="0"/>
        <w:jc w:val="center"/>
        <w:tblLayout w:type="fixed"/>
        <w:tblLook w:firstColumn="1" w:firstRow="1" w:lastColumn="0" w:lastRow="0" w:noHBand="0" w:noVBand="1" w:val="04A0"/>
      </w:tblPr>
      <w:tblGrid>
        <w:gridCol w:w="1944"/>
        <w:gridCol w:w="2016"/>
        <w:gridCol w:w="3024"/>
        <w:gridCol w:w="3240"/>
      </w:tblGrid>
      <w:tr>
        <w:trPr>
          <w:cantSplit/>
          <w:tblHeader/>
        </w:trPr>
        <w:tc>
          <w:tcPr>
            <w:tcW w:type="dxa" w:w="1944"/>
            <w:vAlign w:val="center"/>
            <w:shd w:fill="24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9"/>
              </w:rPr>
              <w:t>Kaynak</w:t>
            </w:r>
          </w:p>
        </w:tc>
        <w:tc>
          <w:tcPr>
            <w:tcW w:type="dxa" w:w="2016"/>
            <w:vAlign w:val="center"/>
            <w:shd w:fill="24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9"/>
              </w:rPr>
              <w:t>Miktar</w:t>
            </w:r>
          </w:p>
        </w:tc>
        <w:tc>
          <w:tcPr>
            <w:tcW w:type="dxa" w:w="3024"/>
            <w:vAlign w:val="center"/>
            <w:shd w:fill="24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9"/>
              </w:rPr>
              <w:t>Kullanım</w:t>
            </w:r>
          </w:p>
        </w:tc>
        <w:tc>
          <w:tcPr>
            <w:tcW w:type="dxa" w:w="3240"/>
            <w:vAlign w:val="center"/>
            <w:shd w:fill="24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9"/>
              </w:rPr>
              <w:t>Sınır</w:t>
            </w:r>
          </w:p>
        </w:tc>
      </w:tr>
      <w:tr>
        <w:trPr>
          <w:cantSplit/>
        </w:trPr>
        <w:tc>
          <w:tcPr>
            <w:tcW w:type="dxa" w:w="194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9"/>
              </w:rPr>
              <w:t>Brandimarte</w:t>
            </w:r>
          </w:p>
        </w:tc>
        <w:tc>
          <w:tcPr>
            <w:tcW w:type="dxa" w:w="2016"/>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9"/>
              </w:rPr>
              <w:t>10 problem; Mk01 10 iş ve 6 makine</w:t>
            </w:r>
          </w:p>
        </w:tc>
        <w:tc>
          <w:tcPr>
            <w:tcW w:type="dxa" w:w="302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9"/>
              </w:rPr>
              <w:t>Planlama ve karşılaştırma</w:t>
            </w:r>
          </w:p>
        </w:tc>
        <w:tc>
          <w:tcPr>
            <w:tcW w:type="dxa" w:w="324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9"/>
              </w:rPr>
              <w:t>Süre tahmininin eğitim verisi değildir</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9"/>
              </w:rPr>
              <w:t>Production Analysis</w:t>
            </w:r>
          </w:p>
        </w:tc>
        <w:tc>
          <w:tcPr>
            <w:tcW w:type="dxa" w:w="20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9"/>
              </w:rPr>
              <w:t>225 iş emri; 4543 rapor satırı</w:t>
            </w:r>
          </w:p>
        </w:tc>
        <w:tc>
          <w:tcPr>
            <w:tcW w:type="dxa" w:w="302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9"/>
              </w:rPr>
              <w:t>Operasyon süresi ve geçmiş iş araması</w:t>
            </w:r>
          </w:p>
        </w:tc>
        <w:tc>
          <w:tcPr>
            <w:tcW w:type="dxa" w:w="32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9"/>
              </w:rPr>
              <w:t>Rapor satırı otomatik olarak bağımsız operasyon sayılmaz</w:t>
            </w:r>
          </w:p>
        </w:tc>
      </w:tr>
      <w:tr>
        <w:trPr>
          <w:cantSplit/>
        </w:trPr>
        <w:tc>
          <w:tcPr>
            <w:tcW w:type="dxa" w:w="194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9"/>
              </w:rPr>
              <w:t>Fattahi FJSP SDST</w:t>
            </w:r>
          </w:p>
        </w:tc>
        <w:tc>
          <w:tcPr>
            <w:tcW w:type="dxa" w:w="2016"/>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9"/>
              </w:rPr>
              <w:t>Depoda 20 problem</w:t>
            </w:r>
          </w:p>
        </w:tc>
        <w:tc>
          <w:tcPr>
            <w:tcW w:type="dxa" w:w="302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9"/>
              </w:rPr>
              <w:t>Sıraya bağlı hazırlık testi</w:t>
            </w:r>
          </w:p>
        </w:tc>
        <w:tc>
          <w:tcPr>
            <w:tcW w:type="dxa" w:w="324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9"/>
              </w:rPr>
              <w:t>Gerçek Türk işletmesi verisi değildir</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9"/>
              </w:rPr>
              <w:t>CNC Changeovers</w:t>
            </w:r>
          </w:p>
        </w:tc>
        <w:tc>
          <w:tcPr>
            <w:tcW w:type="dxa" w:w="20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9"/>
              </w:rPr>
              <w:t>3 ürün; 30 oturum; yaklaşık 78,7 MB</w:t>
            </w:r>
          </w:p>
        </w:tc>
        <w:tc>
          <w:tcPr>
            <w:tcW w:type="dxa" w:w="302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9"/>
              </w:rPr>
              <w:t>Bağımsız hazırlık analizi</w:t>
            </w:r>
          </w:p>
        </w:tc>
        <w:tc>
          <w:tcPr>
            <w:tcW w:type="dxa" w:w="32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9"/>
              </w:rPr>
              <w:t>Az oturum ve tek deney ortamı</w:t>
            </w:r>
          </w:p>
        </w:tc>
      </w:tr>
      <w:tr>
        <w:trPr>
          <w:cantSplit/>
        </w:trPr>
        <w:tc>
          <w:tcPr>
            <w:tcW w:type="dxa" w:w="194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9"/>
              </w:rPr>
              <w:t>Atölye senaryosu</w:t>
            </w:r>
          </w:p>
        </w:tc>
        <w:tc>
          <w:tcPr>
            <w:tcW w:type="dxa" w:w="2016"/>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9"/>
              </w:rPr>
              <w:t>Öneri 10–20 iş ve 3–5 kaynak</w:t>
            </w:r>
          </w:p>
        </w:tc>
        <w:tc>
          <w:tcPr>
            <w:tcW w:type="dxa" w:w="302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9"/>
              </w:rPr>
              <w:t>Vardiya, termin ve değişiklik demosu</w:t>
            </w:r>
          </w:p>
        </w:tc>
        <w:tc>
          <w:tcPr>
            <w:tcW w:type="dxa" w:w="324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9"/>
              </w:rPr>
              <w:t>Varsayımlar etiketlenir</w:t>
            </w:r>
          </w:p>
        </w:tc>
      </w:tr>
    </w:tbl>
    <w:p/>
    <w:p>
      <w:pPr>
        <w:pStyle w:val="Heading2"/>
      </w:pPr>
      <w:r>
        <w:t>İki ana kaynağın entegrasyonu</w:t>
      </w:r>
    </w:p>
    <w:p>
      <w:r>
        <w:t>Brandimarte ve Production Analysis satırları tek bir eğitim tablosunda birleştirilmez. Brandimarte, planlama hattının doğruluğunu sınar. Gerçek üretim kayıtları süre tahmini için kullanılır. İki kaynak, ayrı adaptörlerle ortak operasyon şemasına aktarılır ve aynı çözücü arayüzünü kullanır.</w:t>
      </w:r>
    </w:p>
    <w:p>
      <w:r>
        <w:t>Bağlantı noktası processing_times alanıdır. TabPFN’in operasyon ve doğrulanmış kaynak için ürettiği süre, bu alana yazılır. CP-SAT süreleri tahmin etmez; verilen süre ve kısıtlarla makine ataması ve sıra belirler.</w:t>
      </w:r>
    </w:p>
    <w:p>
      <w:pPr>
        <w:pStyle w:val="Heading2"/>
      </w:pPr>
      <w:r>
        <w:t>Ortak veri sözleşmesi</w:t>
      </w:r>
    </w:p>
    <w:p>
      <w:r>
        <w:t>jobs: iş emri kimliği ve termin. operations: benzersiz operasyon kimliği, işlem türü ve önceki operasyonlar. machines: kaynak kimliği ve uygunluk. durations: plan süresi, süre kaynağı, ayrı saklanan gerçekleşen süre. scenarios: değişiklik girdileri, takvim, çözücü ayarları ve plan sürümü.</w:t>
      </w:r>
    </w:p>
    <w:p>
      <w:r>
        <w:t>Her kayıtta data_source, duration_source ve time_unit tutulur. Benchmark birimi belirtilmediyse dakika olarak sunulmaz. Gerçek zamanlar dakika cinsine çevrilir; takvim Europe/Istanbul üzerinden gösterilir. Kaynak kimlikleri korunur, adaptör için oluşturulan kimlikler ayrıca saklanır.</w:t>
      </w:r>
    </w:p>
    <w:p>
      <w:pPr>
        <w:pStyle w:val="Heading2"/>
      </w:pPr>
      <w:r>
        <w:t>Varsayımlar için zorunlu alanlar</w:t>
      </w:r>
    </w:p>
    <w:p>
      <w:r>
        <w:t>Rota, vardiya, malzeme hazır olma tarihi, alternatif makine ve müşteri termini için source_type alanı kullanılır: kaynak kaydı, kullanıcı onayı veya demo varsayımı. Geçmişte aynı isimli işlem görülmesi, her parçanın o makinede yapılabileceğini kanıtlamaz.</w:t>
      </w:r>
    </w:p>
    <w:p>
      <w:r>
        <w:br w:type="page"/>
      </w:r>
    </w:p>
    <w:p>
      <w:pPr>
        <w:pStyle w:val="Heading1"/>
      </w:pPr>
      <w:r>
        <w:t>Planlama ve tahminin geliştirilmesi</w:t>
      </w:r>
    </w:p>
    <w:p>
      <w:pPr>
        <w:pStyle w:val="Heading2"/>
      </w:pPr>
      <w:r>
        <w:t>Aşama 1 ve 2 planlama hattı</w:t>
      </w:r>
    </w:p>
    <w:p>
      <w:r>
        <w:t>Önce Mk01 dosyası depodaki okuyucuyla yüklenir. CP-SAT ve tanımlı basit öncelik kuralı aynı girdide çalıştırılır. Gantt çizelgesi ile makine atamaları gösterilir. Ardından 10 Brandimarte problemi için aynı deney tekrarlanır. Çözücü sürümü, süre sınırı, donanım ve varsa rastgelelik ayarları kaydedilir.</w:t>
      </w:r>
    </w:p>
    <w:p>
      <w:r>
        <w:t>Çıkış koşulu: her operasyon tam bir kez planlanır; makinede işler çakışmaz; önceki operasyon tamamlanmadan sonraki başlamaz; izin verilmeyen makine atanmaz. Sonuçla birlikte FEASIBLE veya OPTIMAL durumu gösterilir. Süre sınırı sonunda optimal olmayan plan için en iyi olduğu söylenmez.</w:t>
      </w:r>
    </w:p>
    <w:p>
      <w:pPr>
        <w:pStyle w:val="Heading2"/>
      </w:pPr>
      <w:r>
        <w:t>Aşama 3 gerçek süre tablosu</w:t>
      </w:r>
    </w:p>
    <w:p>
      <w:r>
        <w:t>Ham CSV değiştirilmeden korunur. Rapor türleri ve aynı işte tekrar eden bildirimler incelenir. Sıfır süreler ve veri döneminde kesilmiş işler işaretlenir. Raporların anlamı doğrulanınca uygun satırlar birleştirilir veya seçilir; çıkarma gerekçeleri kaydedilir. Başlangıç ve bitiş farkı, saf makine çalışma süresi olduğu doğrulanana kadar kaydedilen operasyon süresi olarak adlandırılır.</w:t>
      </w:r>
    </w:p>
    <w:p>
      <w:r>
        <w:t>TabPFN girdileri: parça açıklaması, iş emri miktarı, operasyon türü ve bilinen atanmış kaynak. Hedef: doğrulanmış operasyonun gerçekleşen süresi. Sonradan tamamlanan veya reddedilen miktar, bitiş zamanı ve gelecekteki olaylar başlangıç tahminine girmez. Parti süresi tahmin ediliyorsa sonuç tekrar sipariş miktarıyla çarpılmaz.</w:t>
      </w:r>
    </w:p>
    <w:p>
      <w:r>
        <w:t>İş emirleri zaman sırasıyla yaklaşık yüzde 60 eğitim, yüzde 20 doğrulama ve yüzde 20 test olarak ayrılır. Aynı iş emrinin bütün kayıtları birlikte tutulur; zaman sınırını aşan işler ayrı ele alınır. Test, özellik veya model seçimi için tekrar tekrar kullanılmaz. Ön işleme ve geçmiş özetleri yalnızca eğitim bölümünden öğrenilir.</w:t>
      </w:r>
    </w:p>
    <w:p>
      <w:r>
        <w:t>Çıkış koşulu: operasyon medyanı ile TabPFN’in test MAE değerleri dakika cinsinden raporlanır. Test iş emri sayısı ve parça kapsamı açıklanır. TabPFN daha iyi değilse kullanıcı onaylı veya medyan süre planlamada kalır; modelin üstün olduğu ileri sürülmez.</w:t>
      </w:r>
    </w:p>
    <w:p>
      <w:pPr>
        <w:pStyle w:val="Heading2"/>
      </w:pPr>
      <w:r>
        <w:t>Aşama 4 entegrasyon</w:t>
      </w:r>
    </w:p>
    <w:p>
      <w:r>
        <w:t>Rotaları anlaşılır 5–10 gerçek iş seçilir. Onaylı operasyon sırası ve kaynaklar ortak şemaya çevrilir. Her uygun operasyon için TabPFN süresi processing_times alanına aktarılır; gerçekleşen süre yalnızca değerlendirmede saklanır. İlk sürümde yalnızca doğrulanmış tek makine kullanılabilir. Alternatif makine kabiliyeti onaysız genişletilmez.</w:t>
      </w:r>
    </w:p>
    <w:p>
      <w:r>
        <w:t>Geçmişten türetilen rota, retrospektif senaryo olarak etiketlenir. Yeni sipariş için kullanıcı tarafından onaylı rota gerekir. İşin son kayıt zamanı, otomatik olarak sevkiyat veya ticari kapanış zamanı sayılmaz.</w:t>
      </w:r>
    </w:p>
    <w:p>
      <w:r>
        <w:br w:type="page"/>
      </w:r>
    </w:p>
    <w:p>
      <w:pPr>
        <w:pStyle w:val="Heading1"/>
      </w:pPr>
      <w:r>
        <w:t>Teknolojilerin devreye alınması ve demo testleri</w:t>
      </w:r>
    </w:p>
    <w:tbl>
      <w:tblPr>
        <w:tblW w:type="auto" w:w="0"/>
        <w:jc w:val="center"/>
        <w:tblLayout w:type="fixed"/>
        <w:tblLook w:firstColumn="1" w:firstRow="1" w:lastColumn="0" w:lastRow="0" w:noHBand="0" w:noVBand="1" w:val="04A0"/>
      </w:tblPr>
      <w:tblGrid>
        <w:gridCol w:w="2304"/>
        <w:gridCol w:w="1584"/>
        <w:gridCol w:w="6336"/>
      </w:tblGrid>
      <w:tr>
        <w:trPr>
          <w:cantSplit/>
          <w:tblHeader/>
        </w:trPr>
        <w:tc>
          <w:tcPr>
            <w:tcW w:type="dxa" w:w="2304"/>
            <w:vAlign w:val="center"/>
            <w:shd w:fill="24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9"/>
              </w:rPr>
              <w:t>Teknoloji</w:t>
            </w:r>
          </w:p>
        </w:tc>
        <w:tc>
          <w:tcPr>
            <w:tcW w:type="dxa" w:w="1584"/>
            <w:vAlign w:val="center"/>
            <w:shd w:fill="24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9"/>
              </w:rPr>
              <w:t>İlk kullanım</w:t>
            </w:r>
          </w:p>
        </w:tc>
        <w:tc>
          <w:tcPr>
            <w:tcW w:type="dxa" w:w="6336"/>
            <w:vAlign w:val="center"/>
            <w:shd w:fill="24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9"/>
              </w:rPr>
              <w:t>Görev</w:t>
            </w:r>
          </w:p>
        </w:tc>
      </w:tr>
      <w:tr>
        <w:trPr>
          <w:cantSplit/>
        </w:trPr>
        <w:tc>
          <w:tcPr>
            <w:tcW w:type="dxa" w:w="230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9"/>
              </w:rPr>
              <w:t>pandas ve Pydantic</w:t>
            </w:r>
          </w:p>
        </w:tc>
        <w:tc>
          <w:tcPr>
            <w:tcW w:type="dxa" w:w="158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9"/>
              </w:rPr>
              <w:t>Aşama 1</w:t>
            </w:r>
          </w:p>
        </w:tc>
        <w:tc>
          <w:tcPr>
            <w:tcW w:type="dxa" w:w="6336"/>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9"/>
              </w:rPr>
              <w:t>Dosya dönüşümü; şema ve birim doğrulama</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9"/>
              </w:rPr>
              <w:t>SQLite</w:t>
            </w:r>
          </w:p>
        </w:tc>
        <w:tc>
          <w:tcPr>
            <w:tcW w:type="dxa" w:w="15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9"/>
              </w:rPr>
              <w:t>Aşama 1</w:t>
            </w:r>
          </w:p>
        </w:tc>
        <w:tc>
          <w:tcPr>
            <w:tcW w:type="dxa" w:w="63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9"/>
              </w:rPr>
              <w:t>İşler, kaynaklar, veri kökeni ve plan sürümleri</w:t>
            </w:r>
          </w:p>
        </w:tc>
      </w:tr>
      <w:tr>
        <w:trPr>
          <w:cantSplit/>
        </w:trPr>
        <w:tc>
          <w:tcPr>
            <w:tcW w:type="dxa" w:w="230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9"/>
              </w:rPr>
              <w:t>Depo ve CP-SAT</w:t>
            </w:r>
          </w:p>
        </w:tc>
        <w:tc>
          <w:tcPr>
            <w:tcW w:type="dxa" w:w="158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9"/>
              </w:rPr>
              <w:t>Aşama 1</w:t>
            </w:r>
          </w:p>
        </w:tc>
        <w:tc>
          <w:tcPr>
            <w:tcW w:type="dxa" w:w="6336"/>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9"/>
              </w:rPr>
              <w:t>Problem temsili, makine ataması ve çizelge</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9"/>
              </w:rPr>
              <w:t>TabPFN</w:t>
            </w:r>
          </w:p>
        </w:tc>
        <w:tc>
          <w:tcPr>
            <w:tcW w:type="dxa" w:w="15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9"/>
              </w:rPr>
              <w:t>Aşama 3</w:t>
            </w:r>
          </w:p>
        </w:tc>
        <w:tc>
          <w:tcPr>
            <w:tcW w:type="dxa" w:w="63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9"/>
              </w:rPr>
              <w:t>Gerçek kayıtlarla süre tahmini</w:t>
            </w:r>
          </w:p>
        </w:tc>
      </w:tr>
      <w:tr>
        <w:trPr>
          <w:cantSplit/>
        </w:trPr>
        <w:tc>
          <w:tcPr>
            <w:tcW w:type="dxa" w:w="230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9"/>
              </w:rPr>
              <w:t>EmbeddingGemma 2</w:t>
            </w:r>
          </w:p>
        </w:tc>
        <w:tc>
          <w:tcPr>
            <w:tcW w:type="dxa" w:w="158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9"/>
              </w:rPr>
              <w:t>Aşama 5</w:t>
            </w:r>
          </w:p>
        </w:tc>
        <w:tc>
          <w:tcPr>
            <w:tcW w:type="dxa" w:w="6336"/>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9"/>
              </w:rPr>
              <w:t>Geçmiş iş özetlerinden benzer kayıt arama</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9"/>
              </w:rPr>
              <w:t>Gemma</w:t>
            </w:r>
          </w:p>
        </w:tc>
        <w:tc>
          <w:tcPr>
            <w:tcW w:type="dxa" w:w="15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9"/>
              </w:rPr>
              <w:t>Aşama 5</w:t>
            </w:r>
          </w:p>
        </w:tc>
        <w:tc>
          <w:tcPr>
            <w:tcW w:type="dxa" w:w="63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9"/>
              </w:rPr>
              <w:t>Türkçe talebi yapılandırma ve hesaplanmış sonucu açıklama</w:t>
            </w:r>
          </w:p>
        </w:tc>
      </w:tr>
      <w:tr>
        <w:trPr>
          <w:cantSplit/>
        </w:trPr>
        <w:tc>
          <w:tcPr>
            <w:tcW w:type="dxa" w:w="230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9"/>
              </w:rPr>
              <w:t>Streamlit ve Plotly</w:t>
            </w:r>
          </w:p>
        </w:tc>
        <w:tc>
          <w:tcPr>
            <w:tcW w:type="dxa" w:w="158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9"/>
              </w:rPr>
              <w:t>Aşama 1 ve 5</w:t>
            </w:r>
          </w:p>
        </w:tc>
        <w:tc>
          <w:tcPr>
            <w:tcW w:type="dxa" w:w="6336"/>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9"/>
              </w:rPr>
              <w:t>Önce sonuç ekranı; sonra etkileşimli demo</w:t>
            </w:r>
          </w:p>
        </w:tc>
      </w:tr>
    </w:tbl>
    <w:p/>
    <w:p>
      <w:pPr>
        <w:pStyle w:val="Heading2"/>
      </w:pPr>
      <w:r>
        <w:t>A testi bilinen sürelerle referans plan</w:t>
      </w:r>
    </w:p>
    <w:p>
      <w:r>
        <w:t>Seçilen işlerin gerçekleşen süreleri çözücüye verilir. Amaç, ortak şema ve planlama hattını kontrol etmektir. Gerçek kullanımda bu süreler önceden bilinmediği için bu deney referans olarak sunulur.</w:t>
      </w:r>
    </w:p>
    <w:p>
      <w:pPr>
        <w:pStyle w:val="Heading2"/>
      </w:pPr>
      <w:r>
        <w:t>B testi tahminlerle plan</w:t>
      </w:r>
    </w:p>
    <w:p>
      <w:r>
        <w:t>Aynı işler bu kez yalnızca tahmin anında bilinen girdilerden üretilen sürelerle planlanır. Elde edilen sıra ve makine atamaları, gerçekleşen sürelerle ayrı simülasyonda yürütülür; önceki operasyon ve kaynak uygunluğuna göre başlangıçlar güncellenir. Tahmin hatasının bitişlere etkisi ölçülür. Sonuç gerçek fabrika kazanımı diye sunulmaz.</w:t>
      </w:r>
    </w:p>
    <w:p>
      <w:pPr>
        <w:pStyle w:val="Heading2"/>
      </w:pPr>
      <w:r>
        <w:t>C testi yeni sipariş veya duruş</w:t>
      </w:r>
    </w:p>
    <w:p>
      <w:r>
        <w:t>Mevcut plana yeni iş eklenir veya bir makineye iki saat duruş tanımlanır. Tamamlanmış işler sabit kalır. Başlamış operasyonun makinesi ve gerçekleşen kısmı korunur; kalan işler yeniden çözülür. Bu davranış için CP-SAT modeline ek kısıtlar gerekir. Değişen bitişler ve varsa termin gecikmeleri karşılaştırılır.</w:t>
      </w:r>
    </w:p>
    <w:p>
      <w:pPr>
        <w:pStyle w:val="Heading2"/>
      </w:pPr>
      <w:r>
        <w:t>D testi Türkçe arayüz ve geçmiş araması</w:t>
      </w:r>
    </w:p>
    <w:p>
      <w:r>
        <w:t>Gemma, CNC 1 yarın sabah iki saat çalışmayacak talebini makine ve zaman aralığına dönüştürür; belirsiz saatleri kullanıcı doğrular. EmbeddingGemma yalnızca erişilebilir geçmiş işleri getirir. Gemma açıklamasındaki sayılar çözücü çıktısıyla eşleşmelidir; gelecekteki test kayıtları arama dizinine konmaz.</w:t>
      </w:r>
    </w:p>
    <w:p>
      <w:r>
        <w:t>Her demo kaydı: girdi sürümü, süre kaynağı, varsayımlar, çözücü durumu, çalışma süresi, kısıt ihlali sayısı ve önceki plana göre bitiş farklarını içerir. Termin varsa geciken iş sayısı ve toplam gecikme ayrıca ölçülür.</w:t>
      </w:r>
    </w:p>
    <w:p>
      <w:r>
        <w:br w:type="page"/>
      </w:r>
    </w:p>
    <w:p>
      <w:pPr>
        <w:pStyle w:val="Heading1"/>
      </w:pPr>
      <w:r>
        <w:t>Ücretli öncelik özelliğinin son aşaması</w:t>
      </w:r>
    </w:p>
    <w:p>
      <w:r>
        <w:t>Müşterinin ek ücret ödeyerek erken teslim istemesi, temel planlama, tahmin değerlendirmesi ve senaryo karşılaştırması doğrulandıktan sonra geliştirilir. Önce bu talebin mümkün olup olmadığı hesaplanır; ardından ek ücret teklifi oluşturulur. Ödeme altyapısı bundan sonra gelir.</w:t>
      </w:r>
    </w:p>
    <w:p>
      <w:pPr>
        <w:pStyle w:val="Heading2"/>
      </w:pPr>
      <w:r>
        <w:t>Ücretli öncelik için gerekli yeni veriler</w:t>
      </w:r>
    </w:p>
    <w:tbl>
      <w:tblPr>
        <w:tblW w:type="auto" w:w="0"/>
        <w:jc w:val="center"/>
        <w:tblLayout w:type="fixed"/>
        <w:tblLook w:firstColumn="1" w:firstRow="1" w:lastColumn="0" w:lastRow="0" w:noHBand="0" w:noVBand="1" w:val="04A0"/>
      </w:tblPr>
      <w:tblGrid>
        <w:gridCol w:w="3240"/>
        <w:gridCol w:w="2232"/>
        <w:gridCol w:w="4752"/>
      </w:tblGrid>
      <w:tr>
        <w:trPr>
          <w:cantSplit/>
          <w:tblHeader/>
        </w:trPr>
        <w:tc>
          <w:tcPr>
            <w:tcW w:type="dxa" w:w="3240"/>
            <w:vAlign w:val="center"/>
            <w:shd w:fill="24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9"/>
              </w:rPr>
              <w:t>Veri</w:t>
            </w:r>
          </w:p>
        </w:tc>
        <w:tc>
          <w:tcPr>
            <w:tcW w:type="dxa" w:w="2232"/>
            <w:vAlign w:val="center"/>
            <w:shd w:fill="24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9"/>
              </w:rPr>
              <w:t>Kaynak</w:t>
            </w:r>
          </w:p>
        </w:tc>
        <w:tc>
          <w:tcPr>
            <w:tcW w:type="dxa" w:w="4752"/>
            <w:vAlign w:val="center"/>
            <w:shd w:fill="24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9"/>
              </w:rPr>
              <w:t>Kullanım</w:t>
            </w:r>
          </w:p>
        </w:tc>
      </w:tr>
      <w:tr>
        <w:trPr>
          <w:cantSplit/>
        </w:trPr>
        <w:tc>
          <w:tcPr>
            <w:tcW w:type="dxa" w:w="324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9"/>
              </w:rPr>
              <w:t>İstenen erken termin ve ek ücret bütçesi</w:t>
            </w:r>
          </w:p>
        </w:tc>
        <w:tc>
          <w:tcPr>
            <w:tcW w:type="dxa" w:w="223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9"/>
              </w:rPr>
              <w:t>Müşteri talebi</w:t>
            </w:r>
          </w:p>
        </w:tc>
        <w:tc>
          <w:tcPr>
            <w:tcW w:type="dxa" w:w="475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9"/>
              </w:rPr>
              <w:t>Hedefi ve kabul edilebilir teklif aralığını belirlemek</w:t>
            </w:r>
          </w:p>
        </w:tc>
      </w:tr>
      <w:tr>
        <w:trPr>
          <w:cantSplit/>
        </w:trPr>
        <w:tc>
          <w:tcPr>
            <w:tcW w:type="dxa" w:w="32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9"/>
              </w:rPr>
              <w:t>Onaylı mevcut terminler ve değiştirilemez işler</w:t>
            </w:r>
          </w:p>
        </w:tc>
        <w:tc>
          <w:tcPr>
            <w:tcW w:type="dxa" w:w="223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9"/>
              </w:rPr>
              <w:t>İşletme</w:t>
            </w:r>
          </w:p>
        </w:tc>
        <w:tc>
          <w:tcPr>
            <w:tcW w:type="dxa" w:w="47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9"/>
              </w:rPr>
              <w:t>Diğer müşterilerin taahhütlerini korumak</w:t>
            </w:r>
          </w:p>
        </w:tc>
      </w:tr>
      <w:tr>
        <w:trPr>
          <w:cantSplit/>
        </w:trPr>
        <w:tc>
          <w:tcPr>
            <w:tcW w:type="dxa" w:w="324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9"/>
              </w:rPr>
              <w:t>Fazla mesai ve dış işlem maliyetleri</w:t>
            </w:r>
          </w:p>
        </w:tc>
        <w:tc>
          <w:tcPr>
            <w:tcW w:type="dxa" w:w="223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9"/>
              </w:rPr>
              <w:t>İşletme tarifesi</w:t>
            </w:r>
          </w:p>
        </w:tc>
        <w:tc>
          <w:tcPr>
            <w:tcW w:type="dxa" w:w="475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9"/>
              </w:rPr>
              <w:t>Gerçek ek maliyet hesabı</w:t>
            </w:r>
          </w:p>
        </w:tc>
      </w:tr>
      <w:tr>
        <w:trPr>
          <w:cantSplit/>
        </w:trPr>
        <w:tc>
          <w:tcPr>
            <w:tcW w:type="dxa" w:w="32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9"/>
              </w:rPr>
              <w:t>Gecikme maliyeti veya işletme önceliği</w:t>
            </w:r>
          </w:p>
        </w:tc>
        <w:tc>
          <w:tcPr>
            <w:tcW w:type="dxa" w:w="223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9"/>
              </w:rPr>
              <w:t>Açık işletme kuralı</w:t>
            </w:r>
          </w:p>
        </w:tc>
        <w:tc>
          <w:tcPr>
            <w:tcW w:type="dxa" w:w="47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9"/>
              </w:rPr>
              <w:t>Etkilenen işlerin ekonomik değerlendirmesi</w:t>
            </w:r>
          </w:p>
        </w:tc>
      </w:tr>
      <w:tr>
        <w:trPr>
          <w:cantSplit/>
        </w:trPr>
        <w:tc>
          <w:tcPr>
            <w:tcW w:type="dxa" w:w="324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9"/>
              </w:rPr>
              <w:t>Hazırlık geçişleri ve takvim</w:t>
            </w:r>
          </w:p>
        </w:tc>
        <w:tc>
          <w:tcPr>
            <w:tcW w:type="dxa" w:w="223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9"/>
              </w:rPr>
              <w:t>Doğrulanmış kayıt veya kullanıcı</w:t>
            </w:r>
          </w:p>
        </w:tc>
        <w:tc>
          <w:tcPr>
            <w:tcW w:type="dxa" w:w="475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9"/>
              </w:rPr>
              <w:t>Uygulanabilir erken teslim planı</w:t>
            </w:r>
          </w:p>
        </w:tc>
      </w:tr>
    </w:tbl>
    <w:p/>
    <w:p>
      <w:pPr>
        <w:pStyle w:val="Heading2"/>
      </w:pPr>
      <w:r>
        <w:t>Teklif akışı</w:t>
      </w:r>
    </w:p>
    <w:p>
      <w:r>
        <w:t>1. Mevcut planın bir kopyası alınır. 2. Erken teslim talebi senaryoya eklenir. 3. CP-SAT, korunan taahhütler altında seçenek arar. 4. Kod; fazla mesai, dış işlem, ek hazırlık ve izin verilen gecikme maliyetlerini hesaplar. 5. İşletmenin belirlediği marj eklenir. 6. Gemma gerekçeli teklif taslağı hazırlar. 7. İşletme ve müşteri onayından sonra plan kaydedilir.</w:t>
      </w:r>
    </w:p>
    <w:p>
      <w:r>
        <w:t>Asgari ek ücret önerisi = ek operasyonel maliyet + açıkça tanımlanmış risk payı + işletmenin marjı. Ürün için veri olmadan kaybedilen müşteri veya itibar bedeli uydurulmaz. Gemma ücret veya kapasiteyi kendisi belirlemez.</w:t>
      </w:r>
    </w:p>
    <w:p>
      <w:pPr>
        <w:pStyle w:val="Heading2"/>
      </w:pPr>
      <w:r>
        <w:t>Kabul kuralları</w:t>
      </w:r>
    </w:p>
    <w:p>
      <w:r>
        <w:t>Ek ücret kapasite yaratmaz. Vardiya, malzeme veya zorunlu teslim sınırları altında çözüm yoksa sistem erken teslim sözü vermez. Alternatif tarih, kısmi teslim veya onaylı ek kapasite seçeneği sunabilir. Bir siparişin öne alınması diğerlerini etkiliyorsa etki listesi tekliften önce görünür olmalıdır.</w:t>
      </w:r>
    </w:p>
    <w:p>
      <w:pPr>
        <w:pStyle w:val="Heading2"/>
      </w:pPr>
      <w:r>
        <w:t>Son aşamanın testleri</w:t>
      </w:r>
    </w:p>
    <w:p>
      <w:r>
        <w:t>Aynı temel planda dört durum denenir: ödeme yok; yeterli bütçe ve uygulanabilir plan; bütçe ek maliyetin altında; kapasite nedeniyle uygulanamaz talep. Plan onaylanmadan değişmez. Korunan işlerin termini bozulmaz. Çift onay ve plan sürümü kontrolü yapılır. İlk gösterimde ödeme simülasyonu yeterlidir; gerçek tahsilat ayrı entegrasyondur.</w:t>
      </w:r>
    </w:p>
    <w:p>
      <w:r>
        <w:br w:type="page"/>
      </w:r>
    </w:p>
    <w:p>
      <w:pPr>
        <w:pStyle w:val="Heading1"/>
      </w:pPr>
      <w:r>
        <w:t>Teslim planı ve kaynaklar</w:t>
      </w:r>
    </w:p>
    <w:p>
      <w:pPr>
        <w:pStyle w:val="Heading2"/>
      </w:pPr>
      <w:r>
        <w:t>Yarışma için asgari teslim</w:t>
      </w:r>
    </w:p>
    <w:p>
      <w:r>
        <w:t>18 Ekim hedefi: çalışan Brandimarte karşılaştırması, gerçek veride ayrılmış süre tahmini deneyi, küçük atölye senaryosunda sipariş veya duruş değişikliği, Türkçe açıklama ve kısa video. Kaynak kodunda kullanılan açık depo açıkça belirtilir; yeni uygulama katkıları ayrılır. Ücretli öncelik ve tahsilat temel MVP sonrasının kapsamıdır.</w:t>
      </w:r>
    </w:p>
    <w:p>
      <w:pPr>
        <w:pStyle w:val="Heading2"/>
      </w:pPr>
      <w:r>
        <w:t>Takvimden bağımsız çıkış kapıları</w:t>
      </w:r>
    </w:p>
    <w:p>
      <w:r>
        <w:t>Planlama geçerliliği başarısızsa model entegrasyonuna geçilmez. Rapor anlamı çözümlenemiyorsa TabPFN hedefi zorlanmaz; doğrulanmış küçük alt küme kullanılır. Tahmin başarısı zayıfsa planlama kullanıcı süreleriyle devam eder. Kullanıcı arayüzü, bu sürelerin kaynağını görünür tutar.</w:t>
      </w:r>
    </w:p>
    <w:p>
      <w:pPr>
        <w:pStyle w:val="Heading2"/>
      </w:pPr>
      <w:r>
        <w:t>Açık yaklaşım ve kullanım koşulları</w:t>
      </w:r>
    </w:p>
    <w:p>
      <w:r>
        <w:t>Yerel SQLite, Gemma ve embedding araması işletme kayıtlarını yerelde tutacak şekilde kurulabilir. Model ağırlıkları indirildikten sonra çevrimdışı demo hedeflenir; bulut API kullanılıyorsa bu bölüm çevrimdışı olarak tanıtılmaz. İstek başına API ücreti olmaması donanım ve elektrik maliyetinin sıfır olduğu anlamına gelmez.</w:t>
      </w:r>
    </w:p>
    <w:p>
      <w:r>
        <w:t>Depo MIT lisanslıdır; dış verilerin hakları ayrıca değerlendirilir. Production Analysis kaydındaki 4TU kullanım koşulları ücretli üründen önce kontrol edilir. CNC Changeovers kayıt metaverisi CC BY 4.0 belirtir. TabPFN 3.5 ve diğer güncel ticari olmayan sürümlerde işletme kararları veya ücretli kullanım için uygun ticari anlaşma gerekir; eski v2 sürümü seçilirse kendi lisansı ayrıca doğrulanır.</w:t>
      </w:r>
    </w:p>
    <w:p>
      <w:pPr>
        <w:pStyle w:val="Heading2"/>
      </w:pPr>
      <w:r>
        <w:t>Kaynak bağlantıları</w:t>
      </w:r>
    </w:p>
    <w:p>
      <w:r>
        <w:rPr>
          <w:b/>
        </w:rPr>
        <w:t xml:space="preserve">1 Planlama deposu </w:t>
      </w:r>
      <w:hyperlink r:id="rId9">
        <w:r>
          <w:rPr>
            <w:color w:val="205A89"/>
          </w:rPr>
          <w:t>Kaynağı aç</w:t>
        </w:r>
      </w:hyperlink>
    </w:p>
    <w:p>
      <w:r>
        <w:rPr>
          <w:b/>
        </w:rPr>
        <w:t xml:space="preserve">2 Özel problem oluşturma örneği </w:t>
      </w:r>
      <w:hyperlink r:id="rId10">
        <w:r>
          <w:rPr>
            <w:color w:val="205A89"/>
          </w:rPr>
          <w:t>Kaynağı aç</w:t>
        </w:r>
      </w:hyperlink>
    </w:p>
    <w:p>
      <w:r>
        <w:rPr>
          <w:b/>
        </w:rPr>
        <w:t xml:space="preserve">3 Production Analysis kaynak kaydı </w:t>
      </w:r>
      <w:hyperlink r:id="rId11">
        <w:r>
          <w:rPr>
            <w:color w:val="205A89"/>
          </w:rPr>
          <w:t>Kaynağı aç</w:t>
        </w:r>
      </w:hyperlink>
    </w:p>
    <w:p>
      <w:r>
        <w:rPr>
          <w:b/>
        </w:rPr>
        <w:t xml:space="preserve">4 Production Analysis veri paketi </w:t>
      </w:r>
      <w:hyperlink r:id="rId12">
        <w:r>
          <w:rPr>
            <w:color w:val="205A89"/>
          </w:rPr>
          <w:t>Kaynağı aç</w:t>
        </w:r>
      </w:hyperlink>
    </w:p>
    <w:p>
      <w:r>
        <w:rPr>
          <w:b/>
        </w:rPr>
        <w:t xml:space="preserve">5 CNC Changeovers verisi </w:t>
      </w:r>
      <w:hyperlink r:id="rId13">
        <w:r>
          <w:rPr>
            <w:color w:val="205A89"/>
          </w:rPr>
          <w:t>Kaynağı aç</w:t>
        </w:r>
      </w:hyperlink>
    </w:p>
    <w:p>
      <w:r>
        <w:rPr>
          <w:b/>
        </w:rPr>
        <w:t xml:space="preserve">6 CP-SAT çizelgeleme açıklaması </w:t>
      </w:r>
      <w:hyperlink r:id="rId14">
        <w:r>
          <w:rPr>
            <w:color w:val="205A89"/>
          </w:rPr>
          <w:t>Kaynağı aç</w:t>
        </w:r>
      </w:hyperlink>
    </w:p>
    <w:p>
      <w:r>
        <w:rPr>
          <w:b/>
        </w:rPr>
        <w:t xml:space="preserve">7 TabPFN sürüm ve lisans bilgileri </w:t>
      </w:r>
      <w:hyperlink r:id="rId15">
        <w:r>
          <w:rPr>
            <w:color w:val="205A89"/>
          </w:rPr>
          <w:t>Kaynağı aç</w:t>
        </w:r>
      </w:hyperlink>
    </w:p>
    <w:p>
      <w:r>
        <w:rPr>
          <w:b/>
        </w:rPr>
        <w:t xml:space="preserve">8 EmbeddingGemma 2 model kartı </w:t>
      </w:r>
      <w:hyperlink r:id="rId16">
        <w:r>
          <w:rPr>
            <w:color w:val="205A89"/>
          </w:rPr>
          <w:t>Kaynağı aç</w:t>
        </w:r>
      </w:hyperlink>
    </w:p>
    <w:p>
      <w:r>
        <w:rPr>
          <w:b/>
        </w:rPr>
        <w:t xml:space="preserve">9 Yarışma koşulları </w:t>
      </w:r>
      <w:hyperlink r:id="rId17">
        <w:r>
          <w:rPr>
            <w:color w:val="205A89"/>
          </w:rPr>
          <w:t>Kaynağı aç</w:t>
        </w:r>
      </w:hyperlink>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ai-for-decision-making-tue/Job_Shop_Scheduling_Benchmark_Environments_and_Instances" TargetMode="External"/><Relationship Id="rId10" Type="http://schemas.openxmlformats.org/officeDocument/2006/relationships/hyperlink" Target="https://github.com/ai-for-decision-making-tue/Job_Shop_Scheduling_Benchmark_Environments_and_Instances/blob/main/tutorial_custom_problem_instance.ipynb" TargetMode="External"/><Relationship Id="rId11" Type="http://schemas.openxmlformats.org/officeDocument/2006/relationships/hyperlink" Target="https://figshare.com/articles/dataset/Production_Analysis_with_Process_Mining_Technology/12697997" TargetMode="External"/><Relationship Id="rId12" Type="http://schemas.openxmlformats.org/officeDocument/2006/relationships/hyperlink" Target="https://ndownloader.figshare.com/files/24045434" TargetMode="External"/><Relationship Id="rId13" Type="http://schemas.openxmlformats.org/officeDocument/2006/relationships/hyperlink" Target="https://zenodo.org/records/15735480" TargetMode="External"/><Relationship Id="rId14" Type="http://schemas.openxmlformats.org/officeDocument/2006/relationships/hyperlink" Target="https://developers.google.com/optimization/scheduling/job_shop" TargetMode="External"/><Relationship Id="rId15" Type="http://schemas.openxmlformats.org/officeDocument/2006/relationships/hyperlink" Target="https://docs.priorlabs.ai/models" TargetMode="External"/><Relationship Id="rId16" Type="http://schemas.openxmlformats.org/officeDocument/2006/relationships/hyperlink" Target="https://ai.google.dev/gemma/docs/embeddinggemma/model_card_2" TargetMode="External"/><Relationship Id="rId17" Type="http://schemas.openxmlformats.org/officeDocument/2006/relationships/hyperlink" Target="https://dev.to/challenges/hacktoberfest-week2-2026-10-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TerminUstası veri ve teknoloji uygulama planı</dc:title>
  <dc:subject>İmalat planlama yarışma MVP ve ücretli öncelik yol haritası</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