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Hazard ratios for all-cause mortality by placental separation type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25"/>
        <w:gridCol w:w="2516"/>
        <w:gridCol w:w="1483"/>
        <w:gridCol w:w="2449"/>
        <w:gridCol w:w="1416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Placental Abruption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Placental Retention</w:t>
            </w:r>
          </w:p>
        </w:tc>
      </w:tr>
      <w:tr>
        <w:trPr>
          <w:trHeight w:val="589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Abruption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Abruption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Retention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Retention P</w:t>
            </w:r>
          </w:p>
        </w:tc>
      </w:tr>
      <w:tr>
        <w:trPr>
          <w:trHeight w:val="59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 (1.23-2.12)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2.04 (1.66-2.51)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(Demographics)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 (1.21-2.08)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1.95 (1.59-2.4)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+ Pre-existing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1.56 (1.19-2.04)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1.87 (1.52-2.3)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Within 1 year (censored at 365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 (1.13-3.13)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 (1.12-2.73)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59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Excluding deaths ≤42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 (0.96-1.79)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 (1.55-2.41)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Excluding deaths ≤1 year (long-term only)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 (1.08-2.06)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 (1.59-2.55)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Reference group: Normal Delivery (n = 625,890).</w:t>
      </w:r>
    </w:p>
    <w:p>
      <w:pPr>
        <w:pStyle w:val="Normal"/>
      </w:pPr>
      <w:r>
        <w:t xml:space="preserve">a Adjusted for maternal age, race/ethnicity, and SDOH indicator.</w:t>
      </w:r>
    </w:p>
    <w:p>
      <w:pPr>
        <w:pStyle w:val="Normal"/>
      </w:pPr>
      <w:r>
        <w:t xml:space="preserve">b Additionally adjusted for diabetes, hypertension, obesity, and CKD.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atalay.demiray</cp:lastModifiedBy>
  <cp:revision>9</cp:revision>
  <dcterms:created xsi:type="dcterms:W3CDTF">2017-02-28T11:18:00Z</dcterms:created>
  <dcterms:modified xsi:type="dcterms:W3CDTF">2026-02-04T14:32:25Z</dcterms:modified>
  <cp:category/>
</cp:coreProperties>
</file>