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C14–C18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C19–C21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16 В – 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C22.1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7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0,056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0,082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R17.5–R17.8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R18.5–R18.8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R19.5–R19.8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4,7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