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C12, 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C14, C15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9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C17–C19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9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C20A–C20C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0,015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R9, R10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R16G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R19G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8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9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