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robustify OSS development.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triangulate common features of a variety of use</w:t>
      </w:r>
      <w:r>
        <w:t xml:space="preserve"> </w:t>
      </w:r>
      <w:r>
        <w:t xml:space="preserve">cases; it will identify some of the challenges and pitfalls of this mode of</w:t>
      </w:r>
      <w:r>
        <w:t xml:space="preserve"> </w:t>
      </w:r>
      <w:r>
        <w:t xml:space="preserve">standards development, with a particular focus on cross-sector interactions;</w:t>
      </w:r>
      <w:r>
        <w:t xml:space="preserve"> </w:t>
      </w:r>
      <w:r>
        <w:t xml:space="preserve">and it will make recommendations for future developments and policies that can</w:t>
      </w:r>
      <w:r>
        <w:t xml:space="preserve"> </w:t>
      </w:r>
      <w:r>
        <w:t xml:space="preserve">help this 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LSST,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the coordinate frame and pixels, means that data from</w:t>
      </w:r>
      <w:r>
        <w:t xml:space="preserve"> </w:t>
      </w:r>
      <w:r>
        <w:t xml:space="preserve">different observational instruments can be stored in this format and</w:t>
      </w:r>
      <w:r>
        <w:t xml:space="preserve"> </w:t>
      </w:r>
      <w:r>
        <w:t xml:space="preserve">relationships between data from different instruments can be related, rendering</w:t>
      </w:r>
      <w:r>
        <w:t xml:space="preserve"> </w:t>
      </w:r>
      <w:r>
        <w:t xml:space="preserve">manual and error-prone procedures for conforming images obsolete. Nevertheless,</w:t>
      </w:r>
      <w:r>
        <w:t xml:space="preserve"> </w:t>
      </w:r>
      <w:r>
        <w:t xml:space="preserve">the stability has also raised some issues as the field continues to adapt to</w:t>
      </w:r>
      <w:r>
        <w:t xml:space="preserve"> </w:t>
      </w:r>
      <w:r>
        <w:t xml:space="preserve">new measurement methods and the demands of ever-increasing data volumes and</w:t>
      </w:r>
      <w:r>
        <w:t xml:space="preserve"> </w:t>
      </w:r>
      <w:r>
        <w:t xml:space="preserve">complex data analysis use-case, such as interchange with other data and the use</w:t>
      </w:r>
      <w:r>
        <w:t xml:space="preserve"> </w:t>
      </w:r>
      <w:r>
        <w:t xml:space="preserve">of 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is both technically very hard</w:t>
      </w:r>
      <w:r>
        <w:t xml:space="preserve"> </w:t>
      </w:r>
      <w:r>
        <w:t xml:space="preserve">and potentially ill-advised. Therefore, analysis tools are tuned specifically</w:t>
      </w:r>
      <w:r>
        <w:t xml:space="preserve"> </w:t>
      </w:r>
      <w:r>
        <w:t xml:space="preserve">to the standards of the released data. Incentives to use the standards are</w:t>
      </w:r>
      <w:r>
        <w:t xml:space="preserve"> </w:t>
      </w:r>
      <w:r>
        <w:t xml:space="preserve">provided by funders that require data management plans that specify how the</w:t>
      </w:r>
      <w:r>
        <w:t xml:space="preserve"> </w:t>
      </w:r>
      <w:r>
        <w:t xml:space="preserve">data is shared (i.e., in a 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In the 1990s, open web mapping</w:t>
      </w:r>
      <w:r>
        <w:t xml:space="preserve"> </w:t>
      </w:r>
      <w:r>
        <w:t xml:space="preserve">also began with MapServer (https://mapserver.org) and continued later with</w:t>
      </w:r>
      <w:r>
        <w:t xml:space="preserve"> </w:t>
      </w:r>
      <w:r>
        <w:t xml:space="preserve">other projects such as OpenStreetMap (https://www.openstreetmap.org). The</w:t>
      </w:r>
      <w:r>
        <w:t xml:space="preserve"> </w:t>
      </w:r>
      <w:r>
        <w:t xml:space="preserve">following two decades, the 2000s-2020s, brought an expansion of open standards</w:t>
      </w:r>
      <w:r>
        <w:t xml:space="preserve"> </w:t>
      </w:r>
      <w:r>
        <w:t xml:space="preserve">and integration with web technologies developed by OGC, as well as other</w:t>
      </w:r>
      <w:r>
        <w:t xml:space="preserve"> </w:t>
      </w:r>
      <w:r>
        <w:t xml:space="preserve">standards such as the Keyhole Markup Language (KML) for displaying geographic</w:t>
      </w:r>
      <w:r>
        <w:t xml:space="preserve"> </w:t>
      </w:r>
      <w:r>
        <w:t xml:space="preserve">data in Earth browsers. Formats suitable for cloud computing also emerged, such</w:t>
      </w:r>
      <w:r>
        <w:t xml:space="preserve"> </w:t>
      </w:r>
      <w:r>
        <w:t xml:space="preserve">as the Cloud Optimized GeoTIFF (COG), followed by Zarr and Apache Parquet for</w:t>
      </w:r>
      <w:r>
        <w:t xml:space="preserve"> </w:t>
      </w:r>
      <w:r>
        <w:t xml:space="preserve">array and tabular data, respectively. In 2006, the Open Source Geospatial</w:t>
      </w:r>
      <w:r>
        <w:t xml:space="preserve"> </w:t>
      </w:r>
      <w:r>
        <w:t xml:space="preserve">Foundation (OSGeo, https://www.osgeo.org) was established, demonstrating the</w:t>
      </w:r>
      <w:r>
        <w:t xml:space="preserve"> </w:t>
      </w:r>
      <w:r>
        <w:t xml:space="preserve">community’s commitment to the development of open-source geospatial</w:t>
      </w:r>
      <w:r>
        <w:t xml:space="preserve"> </w:t>
      </w:r>
      <w:r>
        <w:t xml:space="preserve">technologies. While some standards have been developed in the industry (e.g.,</w:t>
      </w:r>
      <w:r>
        <w:t xml:space="preserve"> </w:t>
      </w:r>
      <w:r>
        <w:t xml:space="preserve">Keyhole Markup Language (KML) by Keyhole Inc., which Google later acquired),</w:t>
      </w:r>
      <w:r>
        <w:t xml:space="preserve"> </w:t>
      </w:r>
      <w:r>
        <w:t xml:space="preserve">they later became international standards of the OGC, which now encompasses</w:t>
      </w:r>
      <w:r>
        <w:t xml:space="preserve"> </w:t>
      </w:r>
      <w:r>
        <w:t xml:space="preserve">more than 450 commercial, governmental, nonprofit, and research organizations</w:t>
      </w:r>
      <w:r>
        <w:t xml:space="preserve"> </w:t>
      </w:r>
      <w:r>
        <w:t xml:space="preserve">working together on the development and implementation of open standards</w:t>
      </w:r>
      <w:r>
        <w:t xml:space="preserve"> </w:t>
      </w:r>
      <w:r>
        <w:t xml:space="preserve">(https://www.ogc.org).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This approach, which has grown in the last 20 years, has many benefits</w:t>
      </w:r>
      <w:r>
        <w:t xml:space="preserve"> </w:t>
      </w:r>
      <w:r>
        <w:t xml:space="preserve">for both the research field that harnesses the energy of non-scientist members</w:t>
      </w:r>
      <w:r>
        <w:t xml:space="preserve"> </w:t>
      </w:r>
      <w:r>
        <w:t xml:space="preserve">of the community to engage with scientific data, as well as to the community</w:t>
      </w:r>
      <w:r>
        <w:t xml:space="preserve"> </w:t>
      </w:r>
      <w:r>
        <w:t xml:space="preserve">members themselves who can draw both knowledge and pride in their participation</w:t>
      </w:r>
      <w:r>
        <w:t xml:space="preserve"> </w:t>
      </w:r>
      <w:r>
        <w:t xml:space="preserve">in the scientific endeavor. It is also recognized that unique broader benefits</w:t>
      </w:r>
      <w:r>
        <w:t xml:space="preserve"> </w:t>
      </w:r>
      <w:r>
        <w:t xml:space="preserve">are accrued from this mode of scientific research, through the inclusion of</w:t>
      </w:r>
      <w:r>
        <w:t xml:space="preserve"> </w:t>
      </w:r>
      <w:r>
        <w:t xml:space="preserve">perspectives and data that would not otherwise be included. To make data</w:t>
      </w:r>
      <w:r>
        <w:t xml:space="preserve"> </w:t>
      </w:r>
      <w:r>
        <w:t xml:space="preserve">accessible to community scientists, and to make the data collected by community</w:t>
      </w:r>
      <w:r>
        <w:t xml:space="preserve"> </w:t>
      </w:r>
      <w:r>
        <w:t xml:space="preserve">scientists accessible to professional scientists, it needs to be provided in a</w:t>
      </w:r>
      <w:r>
        <w:t xml:space="preserve"> </w:t>
      </w:r>
      <w:r>
        <w:t xml:space="preserve">manner that can be created and accessed without specialized instruments or</w:t>
      </w:r>
      <w:r>
        <w:t xml:space="preserve"> </w:t>
      </w:r>
      <w:r>
        <w:t xml:space="preserve">specialized knowledge. Here, standards are needed to facilitate interactions</w:t>
      </w:r>
      <w:r>
        <w:t xml:space="preserve"> </w:t>
      </w:r>
      <w:r>
        <w:t xml:space="preserve">between an in-group of expert researchers who generate and curate data and a</w:t>
      </w:r>
      <w:r>
        <w:t xml:space="preserve"> </w:t>
      </w:r>
      <w:r>
        <w:t xml:space="preserve">broader set of out-group enthusiasts who would like to make meaningful</w:t>
      </w:r>
      <w:r>
        <w:t xml:space="preserve"> </w:t>
      </w:r>
      <w:r>
        <w:t xml:space="preserve">contributions to the science. This creates a particularly stringent constraint</w:t>
      </w:r>
      <w:r>
        <w:t xml:space="preserve"> </w:t>
      </w:r>
      <w:r>
        <w:t xml:space="preserve">on transparency and simplicity of standards. Creating these standards in a</w:t>
      </w:r>
      <w:r>
        <w:t xml:space="preserve"> </w:t>
      </w:r>
      <w:r>
        <w:t xml:space="preserve">manner that addresses these unique constraints can benefit from OSS tools, with</w:t>
      </w:r>
      <w:r>
        <w:t xml:space="preserve"> </w:t>
      </w:r>
      <w:r>
        <w:t xml:space="preserve">the caveat that some of these tools require additional expertise. For example,</w:t>
      </w:r>
      <w:r>
        <w:t xml:space="preserve"> </w:t>
      </w:r>
      <w:r>
        <w:t xml:space="preserve">if the standard is developed using git/GitHub for versioning, this would</w:t>
      </w:r>
      <w:r>
        <w:t xml:space="preserve"> </w:t>
      </w:r>
      <w:r>
        <w:t xml:space="preserve">require learning the complex and obscure technical aspects of these system that</w:t>
      </w:r>
      <w:r>
        <w:t xml:space="preserve"> </w:t>
      </w:r>
      <w:r>
        <w:t xml:space="preserve">are far from easy to adopt, even for many professional scientists.</w:t>
      </w:r>
    </w:p>
    <w:bookmarkEnd w:id="26"/>
    <w:bookmarkEnd w:id="27"/>
    <w:bookmarkStart w:id="34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user/developers. Pathways to contribution by members of the community are often</w:t>
      </w:r>
      <w:r>
        <w:t xml:space="preserve"> </w:t>
      </w:r>
      <w:r>
        <w:t xml:space="preserve">well-defined: both from the technical perspective (e.g., through a pull request</w:t>
      </w:r>
      <w:r>
        <w:t xml:space="preserve"> </w:t>
      </w:r>
      <w:r>
        <w:t xml:space="preserve">on GitHub, or other similar mechanisms), as well as from the social perspective</w:t>
      </w:r>
      <w:r>
        <w:t xml:space="preserve"> </w:t>
      </w:r>
      <w:r>
        <w:t xml:space="preserve">(e.g., whether contributors need to accept certain licensing conditions through</w:t>
      </w:r>
      <w:r>
        <w:t xml:space="preserve"> </w:t>
      </w:r>
      <w:r>
        <w:t xml:space="preserve">a contributor licensing agreement) and the socio-technical perspective (e.g.,</w:t>
      </w:r>
      <w:r>
        <w:t xml:space="preserve"> </w:t>
      </w:r>
      <w:r>
        <w:t xml:space="preserve">how many people need to review a contribution, what are the timelines for a</w:t>
      </w:r>
      <w:r>
        <w:t xml:space="preserve"> </w:t>
      </w:r>
      <w:r>
        <w:t xml:space="preserve">contribution to be reviewed and accepted, what are the release cycles of the</w:t>
      </w:r>
      <w:r>
        <w:t xml:space="preserve"> </w:t>
      </w:r>
      <w:r>
        <w:t xml:space="preserve">software that make the contribution available to a broader community of users,</w:t>
      </w:r>
      <w:r>
        <w:t xml:space="preserve"> </w:t>
      </w:r>
      <w:r>
        <w:t xml:space="preserve">etc.). Similarly, open-source standards may also find themselves addressing use</w:t>
      </w:r>
      <w:r>
        <w:t xml:space="preserve"> </w:t>
      </w:r>
      <w:r>
        <w:t xml:space="preserve">cases and solutions that were not originally envisioned through bottom-up</w:t>
      </w:r>
      <w:r>
        <w:t xml:space="preserve"> </w:t>
      </w:r>
      <w:r>
        <w:t xml:space="preserve">contributions of members of a research community to which the standard</w:t>
      </w:r>
      <w:r>
        <w:t xml:space="preserve"> </w:t>
      </w:r>
      <w:r>
        <w:t xml:space="preserve">pertains. However, while this dynamism provides an avenue for flexibility it</w:t>
      </w:r>
      <w:r>
        <w:t xml:space="preserve"> </w:t>
      </w:r>
      <w:r>
        <w:t xml:space="preserve">also presents a source of tension. This is because data and metadata standards</w:t>
      </w:r>
      <w:r>
        <w:t xml:space="preserve"> </w:t>
      </w:r>
      <w:r>
        <w:t xml:space="preserve">apply to already existing datasets, and changes may affect the compliance of</w:t>
      </w:r>
      <w:r>
        <w:t xml:space="preserve"> </w:t>
      </w:r>
      <w:r>
        <w:t xml:space="preserve">these existing datasets. Similarly, analysis technology stacks that are</w:t>
      </w:r>
      <w:r>
        <w:t xml:space="preserve"> </w:t>
      </w:r>
      <w:r>
        <w:t xml:space="preserve">developed based on an existing version of a standard have to adapt to the</w:t>
      </w:r>
      <w:r>
        <w:t xml:space="preserve"> </w:t>
      </w:r>
      <w:r>
        <w:t xml:space="preserve">introduction of new ideas and changes into a standard. Dynamic changes of this</w:t>
      </w:r>
      <w:r>
        <w:t xml:space="preserve"> </w:t>
      </w:r>
      <w:r>
        <w:t xml:space="preserve">sort therefore risk causing a loss of faith in the standard by a user</w:t>
      </w:r>
      <w:r>
        <w:t xml:space="preserve"> </w:t>
      </w:r>
      <w:r>
        <w:t xml:space="preserve">community, and migration away from the standard. Similarly, if a standard</w:t>
      </w:r>
      <w:r>
        <w:t xml:space="preserve"> </w:t>
      </w:r>
      <w:r>
        <w:t xml:space="preserve">evolves too rapidly, users may choose to stick to an outdated version of a</w:t>
      </w:r>
      <w:r>
        <w:t xml:space="preserve"> </w:t>
      </w:r>
      <w:r>
        <w:t xml:space="preserve">standard for a long time, creating strains on the community of developers and</w:t>
      </w:r>
      <w:r>
        <w:t xml:space="preserve"> </w:t>
      </w:r>
      <w:r>
        <w:t xml:space="preserve">maintainers of a standard who will need to accommodate long deprecation cycles.</w:t>
      </w:r>
      <w:r>
        <w:t xml:space="preserve"> </w:t>
      </w:r>
      <w:r>
        <w:t xml:space="preserve">On the other hand, in cases in which some forms of dynamic change is prohibited</w:t>
      </w:r>
      <w:r>
        <w:t xml:space="preserve"> </w:t>
      </w:r>
      <w:r>
        <w:t xml:space="preserve">– as in the case of the FITS file format, which prohibits changes that break</w:t>
      </w:r>
      <w:r>
        <w:t xml:space="preserve"> </w:t>
      </w:r>
      <w:r>
        <w:t xml:space="preserve">backwards-compatibility – there is also a cost associated with the stability</w:t>
      </w:r>
      <w:r>
        <w:t xml:space="preserve"> </w:t>
      </w:r>
      <w:r>
        <w:t xml:space="preserve">(Scroggins and Boscoe 2020)</w:t>
      </w:r>
      <w:r>
        <w:t xml:space="preserve">: limiting adoption and combinations of new types of</w:t>
      </w:r>
      <w:r>
        <w:t xml:space="preserve"> </w:t>
      </w:r>
      <w:r>
        <w:t xml:space="preserve">measurements, new analysis methods or new modes of data storage and data</w:t>
      </w:r>
      <w:r>
        <w:t xml:space="preserve"> </w:t>
      </w:r>
      <w:r>
        <w:t xml:space="preserve">sharing.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in both interest and ability</w:t>
      </w:r>
      <w:r>
        <w:t xml:space="preserve"> </w:t>
      </w:r>
      <w:r>
        <w:t xml:space="preserve">to engage with the technical details undergirding standards and their</w:t>
      </w:r>
      <w:r>
        <w:t xml:space="preserve"> </w:t>
      </w:r>
      <w:r>
        <w:t xml:space="preserve">development between the core developers of the standard and the users of the</w:t>
      </w:r>
      <w:r>
        <w:t xml:space="preserve"> </w:t>
      </w:r>
      <w:r>
        <w:t xml:space="preserve">standard, which are members of the broader research field to which the standard</w:t>
      </w:r>
      <w:r>
        <w:t xml:space="preserve"> </w:t>
      </w:r>
      <w:r>
        <w:t xml:space="preserve">pertains. This gap, in and of itself, creates friction on the path to broad</w:t>
      </w:r>
      <w:r>
        <w:t xml:space="preserve"> </w:t>
      </w:r>
      <w:r>
        <w:t xml:space="preserve">adoption and best utilization of the standards. In extreme cases, the interests</w:t>
      </w:r>
      <w:r>
        <w:t xml:space="preserve"> </w:t>
      </w:r>
      <w:r>
        <w:t xml:space="preserve">of researchers and standards developers may even seem at odds, as developers</w:t>
      </w:r>
      <w:r>
        <w:t xml:space="preserve"> </w:t>
      </w:r>
      <w:r>
        <w:t xml:space="preserve">implement sophisticated mechanisms to automate the creation and validation of</w:t>
      </w:r>
      <w:r>
        <w:t xml:space="preserve"> </w:t>
      </w:r>
      <w:r>
        <w:t xml:space="preserve">the standard or advocate for more technically advanced mechanisms for evolving</w:t>
      </w:r>
      <w:r>
        <w:t xml:space="preserve"> </w:t>
      </w:r>
      <w:r>
        <w:t xml:space="preserve">the standard. These advanced capabilities offer more robust development</w:t>
      </w:r>
      <w:r>
        <w:t xml:space="preserve"> </w:t>
      </w:r>
      <w:r>
        <w:t xml:space="preserve">practices and consistency in cases where the standards are complex and</w:t>
      </w:r>
      <w:r>
        <w:t xml:space="preserve"> </w:t>
      </w:r>
      <w:r>
        <w:t xml:space="preserve">elaborate. They can also ease the maintenance burden of the standard. On the</w:t>
      </w:r>
      <w:r>
        <w:t xml:space="preserve"> </w:t>
      </w:r>
      <w:r>
        <w:t xml:space="preserve">other hand, they may end up leaving potential users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There is a lack</w:t>
      </w:r>
      <w:r>
        <w:t xml:space="preserve"> </w:t>
      </w:r>
      <w:r>
        <w:t xml:space="preserve">of regulatory oversight to adhere to available standards or evolve common</w:t>
      </w:r>
      <w:r>
        <w:t xml:space="preserve"> </w:t>
      </w:r>
      <w:r>
        <w:t xml:space="preserve">tools, limiting integration across different measurements. In cases where a</w:t>
      </w:r>
      <w:r>
        <w:t xml:space="preserve"> </w:t>
      </w:r>
      <w:r>
        <w:t xml:space="preserve">significant amount of data is already stored in proprietary formats,</w:t>
      </w:r>
      <w:r>
        <w:t xml:space="preserve"> </w:t>
      </w:r>
      <w:r>
        <w:t xml:space="preserve">significant data transformations may be required to get data to a state that is</w:t>
      </w:r>
      <w:r>
        <w:t xml:space="preserve"> </w:t>
      </w:r>
      <w:r>
        <w:t xml:space="preserve">amenable to open-source standards. In these sub-fields there may also be a lack</w:t>
      </w:r>
      <w:r>
        <w:t xml:space="preserve"> </w:t>
      </w:r>
      <w:r>
        <w:t xml:space="preserve">of incentive to set aside investment or resources to invest in establishing</w:t>
      </w:r>
      <w:r>
        <w:t xml:space="preserve"> </w:t>
      </w:r>
      <w:r>
        <w:t xml:space="preserve">open-source data standards, leaving 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Projects such as NSF’s Cloud Bank seek to</w:t>
      </w:r>
      <w:r>
        <w:t xml:space="preserve"> </w:t>
      </w:r>
      <w:r>
        <w:t xml:space="preserve">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End w:id="34"/>
    <w:bookmarkStart w:id="38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5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5"/>
    <w:bookmarkStart w:id="36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6"/>
    <w:bookmarkStart w:id="37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37"/>
    <w:bookmarkEnd w:id="38"/>
    <w:bookmarkStart w:id="5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5" w:name="science-and-technology-communities"/>
    <w:p>
      <w:pPr>
        <w:pStyle w:val="Heading2"/>
      </w:pPr>
      <w:r>
        <w:t xml:space="preserve">6.1 Science and technology communities:</w:t>
      </w:r>
    </w:p>
    <w:bookmarkStart w:id="40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39">
        <w:r>
          <w:rPr>
            <w:rStyle w:val="Hyperlink"/>
          </w:rPr>
          <w:t xml:space="preserve">The 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Way</w:t>
        </w:r>
      </w:hyperlink>
      <w:r>
        <w:t xml:space="preserve">.</w:t>
      </w:r>
    </w:p>
    <w:bookmarkEnd w:id="40"/>
    <w:bookmarkStart w:id="43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encompass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 such</w:t>
      </w:r>
      <w:r>
        <w:t xml:space="preserve"> </w:t>
      </w:r>
      <w:r>
        <w:t xml:space="preserve">as complexity-impeded adoption. Surveying and documenting the success and</w:t>
      </w:r>
      <w:r>
        <w:t xml:space="preserve"> </w:t>
      </w:r>
      <w:r>
        <w:t xml:space="preserve">failures of current standards for a specific dataset / domain can help</w:t>
      </w:r>
      <w:r>
        <w:t xml:space="preserve"> </w:t>
      </w:r>
      <w:r>
        <w:t xml:space="preserve">disseminate knowledge about the standardization process. Resources such as</w:t>
      </w:r>
      <w:r>
        <w:t xml:space="preserve"> </w:t>
      </w:r>
      <w:hyperlink r:id="rId41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2">
        <w:r>
          <w:rPr>
            <w:rStyle w:val="Hyperlink"/>
          </w:rPr>
          <w:t xml:space="preserve">Digital Curation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 </w:t>
      </w:r>
      <w:r>
        <w:t xml:space="preserve">can help guide this process.</w:t>
      </w:r>
    </w:p>
    <w:bookmarkEnd w:id="43"/>
    <w:bookmarkStart w:id="44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4"/>
    <w:bookmarkEnd w:id="45"/>
    <w:bookmarkStart w:id="50" w:name="policy-making-and-funding-entities"/>
    <w:p>
      <w:pPr>
        <w:pStyle w:val="Heading2"/>
      </w:pPr>
      <w:r>
        <w:t xml:space="preserve">6.2 Policy-making and funding entities:</w:t>
      </w:r>
    </w:p>
    <w:bookmarkStart w:id="46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is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6"/>
    <w:bookmarkStart w:id="47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facile in the</w:t>
      </w:r>
      <w:r>
        <w:t xml:space="preserve"> </w:t>
      </w:r>
      <w:r>
        <w:t xml:space="preserve">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</w:t>
      </w:r>
    </w:p>
    <w:p>
      <w:pPr>
        <w:pStyle w:val="BodyText"/>
      </w:pPr>
      <w:r>
        <w:t xml:space="preserve">Stakeholder organizations should invest in training grants to establish</w:t>
      </w:r>
      <w:r>
        <w:t xml:space="preserve"> </w:t>
      </w:r>
      <w:r>
        <w:t xml:space="preserve">curriculum for data and metadata standards education.</w:t>
      </w:r>
    </w:p>
    <w:bookmarkEnd w:id="47"/>
    <w:bookmarkStart w:id="48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stories. Research on the principles that</w:t>
      </w:r>
      <w:r>
        <w:t xml:space="preserve"> </w:t>
      </w:r>
      <w:r>
        <w:t xml:space="preserve">underlie successful open-source standards development can be used to formulate</w:t>
      </w:r>
      <w:r>
        <w:t xml:space="preserve"> </w:t>
      </w:r>
      <w:r>
        <w:t xml:space="preserve">new standards and iterate on existing ones. Data management plans should</w:t>
      </w:r>
      <w:r>
        <w:t xml:space="preserve"> </w:t>
      </w:r>
      <w:r>
        <w:t xml:space="preserve">promote the sharing of not only data, but also metadata and descriptions of how</w:t>
      </w:r>
      <w:r>
        <w:t xml:space="preserve"> </w:t>
      </w:r>
      <w:r>
        <w:t xml:space="preserve">to use it.</w:t>
      </w:r>
    </w:p>
    <w:bookmarkEnd w:id="48"/>
    <w:bookmarkStart w:id="49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</w:t>
      </w:r>
      <w:r>
        <w:t xml:space="preserve"> </w:t>
      </w:r>
      <w:r>
        <w:t xml:space="preserve">Multi-company partnerships should include strategic initiatives for standard</w:t>
      </w:r>
      <w:r>
        <w:t xml:space="preserve"> </w:t>
      </w:r>
      <w:r>
        <w:t xml:space="preserve">establishment such as the Pistoia Alliance (https://www.pistoiaalliance.org/).</w:t>
      </w:r>
    </w:p>
    <w:bookmarkEnd w:id="49"/>
    <w:bookmarkEnd w:id="50"/>
    <w:bookmarkEnd w:id="51"/>
    <w:bookmarkStart w:id="5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55"/>
    <w:bookmarkStart w:id="83" w:name="references"/>
    <w:p>
      <w:pPr>
        <w:pStyle w:val="Heading1"/>
      </w:pPr>
      <w:r>
        <w:t xml:space="preserve">8. References</w:t>
      </w:r>
    </w:p>
    <w:bookmarkStart w:id="82" w:name="refs"/>
    <w:bookmarkStart w:id="56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56"/>
    <w:bookmarkStart w:id="57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57"/>
    <w:bookmarkStart w:id="59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58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59"/>
    <w:bookmarkStart w:id="60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0"/>
    <w:bookmarkStart w:id="62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1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2"/>
    <w:bookmarkStart w:id="63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63"/>
    <w:bookmarkStart w:id="65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4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65"/>
    <w:bookmarkStart w:id="67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66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67"/>
    <w:bookmarkStart w:id="68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68"/>
    <w:bookmarkStart w:id="69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69"/>
    <w:bookmarkStart w:id="70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0"/>
    <w:bookmarkStart w:id="72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1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2"/>
    <w:bookmarkStart w:id="74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3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4"/>
    <w:bookmarkStart w:id="75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75"/>
    <w:bookmarkStart w:id="76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76"/>
    <w:bookmarkStart w:id="77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77"/>
    <w:bookmarkStart w:id="78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78"/>
    <w:bookmarkStart w:id="79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79"/>
    <w:bookmarkStart w:id="80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80"/>
    <w:bookmarkStart w:id="81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dx.doi.org/10.1038/483397a" TargetMode="External" /><Relationship Type="http://schemas.openxmlformats.org/officeDocument/2006/relationships/hyperlink" Id="rId71" Target="https://doi.org/10.1145/3437359.3465586" TargetMode="External" /><Relationship Type="http://schemas.openxmlformats.org/officeDocument/2006/relationships/hyperlink" Id="rId66" Target="https://doi.org/10.1201/9781315380711" TargetMode="External" /><Relationship Type="http://schemas.openxmlformats.org/officeDocument/2006/relationships/hyperlink" Id="rId64" Target="https://doi.org/10.5281/zenodo.1159282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3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58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dx.doi.org/10.1038/483397a" TargetMode="External" /><Relationship Type="http://schemas.openxmlformats.org/officeDocument/2006/relationships/hyperlink" Id="rId71" Target="https://doi.org/10.1145/3437359.3465586" TargetMode="External" /><Relationship Type="http://schemas.openxmlformats.org/officeDocument/2006/relationships/hyperlink" Id="rId66" Target="https://doi.org/10.1201/9781315380711" TargetMode="External" /><Relationship Type="http://schemas.openxmlformats.org/officeDocument/2006/relationships/hyperlink" Id="rId64" Target="https://doi.org/10.5281/zenodo.1159282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3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58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2024-09-09T23:01:21Z</dcterms:created>
  <dcterms:modified xsi:type="dcterms:W3CDTF">2024-09-09T23:01:21Z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  <property fmtid="{D5CDD505-2E9C-101B-9397-08002B2CF9AE}" pid="24" name="watermark">
    <vt:lpwstr/>
  </property>
</Properties>
</file>