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8"/>
          <w:sz w:val="36"/>
        </w:rPr>
        <w:t>Лабораторно упражнение: Planning Poker и разпределяне по спринтове</w:t>
      </w:r>
    </w:p>
    <w:p>
      <w:pPr>
        <w:spacing w:after="360"/>
        <w:jc w:val="center"/>
      </w:pPr>
      <w:r>
        <w:rPr>
          <w:rFonts w:ascii="Arial" w:hAnsi="Arial"/>
          <w:i/>
          <w:color w:val="595959"/>
          <w:sz w:val="24"/>
        </w:rPr>
        <w:t>Протокол от оценяването, изчисляване на капацитет и разпределение по спринтове за „Vacation Manager“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1. Подготовка и правила за Planning Poker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Еталон за оценка: </w:t>
      </w:r>
      <w:r>
        <w:rPr>
          <w:rFonts w:ascii="Calibri" w:hAnsi="Calibri"/>
          <w:sz w:val="22"/>
        </w:rPr>
        <w:t>За еталон се приема историята US-06 „Управление на роли (CRUD)“ = 3 Story Points.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Правила за гласуване: </w:t>
      </w:r>
      <w:r>
        <w:rPr>
          <w:rFonts w:ascii="Calibri" w:hAnsi="Calibri"/>
          <w:sz w:val="22"/>
        </w:rPr>
        <w:t>Всички членове показват картите едновременно. При съседни стойности и съгласие се приема по-голямата/мнозинството. При разминаване най-високата и най-ниската оценка се обосновават по 1 минута.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Правило за повторен кръг: </w:t>
      </w:r>
      <w:r>
        <w:rPr>
          <w:rFonts w:ascii="Calibri" w:hAnsi="Calibri"/>
          <w:sz w:val="22"/>
        </w:rPr>
        <w:t>След 3-ти кръг се взема по-голямата от най-честите оценки. История с оценка 13 задължително се разбива.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2. Протокол от гласуването (Planning Poker)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152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Кръг</w:t>
            </w:r>
          </w:p>
        </w:tc>
        <w:tc>
          <w:tcPr>
            <w:tcW w:type="dxa" w:w="129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Алекс</w:t>
            </w:r>
          </w:p>
        </w:tc>
        <w:tc>
          <w:tcPr>
            <w:tcW w:type="dxa" w:w="129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Бояна</w:t>
            </w:r>
          </w:p>
        </w:tc>
        <w:tc>
          <w:tcPr>
            <w:tcW w:type="dxa" w:w="129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Виктор</w:t>
            </w:r>
          </w:p>
        </w:tc>
        <w:tc>
          <w:tcPr>
            <w:tcW w:type="dxa" w:w="129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Гергана</w:t>
            </w:r>
          </w:p>
        </w:tc>
        <w:tc>
          <w:tcPr>
            <w:tcW w:type="dxa" w:w="1728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Резултат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T-02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Несъгласие (3 - 8)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5 – съгласие след обяснение за миграциите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US-05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5 – съседни, мнозинство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5 – пълно съгласие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US-02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Несъгласие (5 - 13)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8 – разбиване на историята</w:t>
            </w:r>
          </w:p>
        </w:tc>
      </w:tr>
      <w:tr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US-03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3 – съседни, мнозинство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8"/>
                <w:sz w:val="22"/>
              </w:rPr>
              <w:t>Анализ на несъгласие</w:t>
              <w:br/>
            </w:r>
            <w:r>
              <w:rPr>
                <w:rFonts w:ascii="Arial" w:hAnsi="Arial"/>
                <w:color w:val="2D3748"/>
                <w:sz w:val="21"/>
              </w:rPr>
              <w:t>Анализ на най-голямото несъгласие (US-02 - Болничен отпуск):</w:t>
              <w:br/>
              <w:t>Бояна (5) мислеше само за качването на файл. Виктор (13) бе включил и сканиране на вируси, визуализация на PDF в браузъра и асинхронно съхранение в облак. След дискусия с Product Owner-а беше решено функционалностите за преглед и асинхронно качване да бъдат отделени.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3. Разбиване на голяма история (Story Splitting)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608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Съдържание / Описание</w:t>
            </w:r>
          </w:p>
        </w:tc>
        <w:tc>
          <w:tcPr>
            <w:tcW w:type="dxa" w:w="129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MoSCoW</w:t>
            </w:r>
          </w:p>
        </w:tc>
        <w:tc>
          <w:tcPr>
            <w:tcW w:type="dxa" w:w="1008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Точки</w:t>
            </w:r>
          </w:p>
        </w:tc>
        <w:tc>
          <w:tcPr>
            <w:tcW w:type="dxa" w:w="1008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Спринт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US-02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Подаване на заявка за болничен отпуск, валидация и качване на прикачен файл (болничен лист).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Спринт 2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US-02-b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Онлайн визуализация на прикачения болничен лист в браузъра и проверка за сигурност.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Could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Won't this time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4. Изчисляване капацитета на екипа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Елемент</w:t>
            </w:r>
          </w:p>
        </w:tc>
        <w:tc>
          <w:tcPr>
            <w:tcW w:type="dxa" w:w="187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Стойност</w:t>
            </w:r>
          </w:p>
        </w:tc>
        <w:tc>
          <w:tcPr>
            <w:tcW w:type="dxa" w:w="432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Бележка / Описание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Уроци в спринта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24 урока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 40 мин. = 16 часа на човек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Самостоятелна работа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~6 часа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Според Работното споразумение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Общо време на човек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22 часа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Брутно разполагаемо време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Scrum събития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-5 часа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Планиране, Daily, Review, Ретроспектива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Нетно време на човек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17 часа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Чисто време за разработка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Екип (4 души)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68 часа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Общ капацитет на екипа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Буфер за непредвидено (10%)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-7 часа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За непредвидени казуси и технически въпроси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Разполагаеми часове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61 часа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Чист разполагаем ресурс за спринт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Ориентировъчен капацитет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25 Story Points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Допускане: 1 Story Point ≈ 2.4 часа (уточнява се след Спринт 1)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5. Разпределение на беклога по спринтове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Спринт</w:t>
            </w:r>
          </w:p>
        </w:tc>
        <w:tc>
          <w:tcPr>
            <w:tcW w:type="dxa" w:w="403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Включени елементи (ID)</w:t>
            </w:r>
          </w:p>
        </w:tc>
        <w:tc>
          <w:tcPr>
            <w:tcW w:type="dxa" w:w="316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Сбор точки / Бележка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Спринт 1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T-01, T-02, US-04, US-05, US-06, US-07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24 точки (В рамките на капацитета от 25 т.)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Спринт 2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US-08, US-01, US-02, US-03, T-03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21 точки (Основна функционалност за отпуски)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Спринт 3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T-04, T-05, T-06, T-07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11 точки + буфер за бъгове и пренесени задачи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Won't this time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US-09, US-10, US-02-b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Разширени функционалности извън обхвата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6. Рискове за изпълнение на плана и превантивни мерки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Риск 1: Неточност при първоначалните Story Points оценки. </w:t>
      </w:r>
      <w:r>
        <w:rPr>
          <w:rFonts w:ascii="Calibri" w:hAnsi="Calibri"/>
          <w:sz w:val="22"/>
        </w:rPr>
        <w:t>Мярка: Should задачите са разположени в края на спринтовете и могат да се пренесат без да блокират основните Must функционалности.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Риск 2: Забавяне при качването и обработката на болнични листове. </w:t>
      </w:r>
      <w:r>
        <w:rPr>
          <w:rFonts w:ascii="Calibri" w:hAnsi="Calibri"/>
          <w:sz w:val="22"/>
        </w:rPr>
        <w:t>Мярка: Локалното съхранение на файлове е с предимство пред интеграция с външни облачни хранилища за първата версия.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