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Portfolio Management Lecture:</w:t>
        <w:br/>
        <w:t>From the “20-Something Modelur” Trap to Robust Strategy Ecosystems</w:t>
      </w:r>
    </w:p>
    <w:p>
      <w:pPr>
        <w:jc w:val="center"/>
      </w:pPr>
      <w:r>
        <w:rPr>
          <w:i/>
          <w:sz w:val="24"/>
        </w:rPr>
        <w:t>A brain-dump of theories and frameworks for capital allocation,</w:t>
        <w:br/>
        <w:t>cross-strategy diversification, and antifragile portfolio design</w:t>
      </w:r>
    </w:p>
    <w:p/>
    <w:p>
      <w:pPr>
        <w:jc w:val="center"/>
      </w:pPr>
      <w:r>
        <w:t>Lecture notes · Quantitative trading &amp; portfolio construction</w:t>
        <w:br/>
      </w:r>
      <w:r>
        <w:t>Research synthesis with references</w:t>
      </w:r>
    </w:p>
    <w:p>
      <w:r>
        <w:br w:type="page"/>
      </w:r>
    </w:p>
    <w:p>
      <w:pPr>
        <w:pStyle w:val="Heading1"/>
      </w:pPr>
      <w:r>
        <w:t>Executive Summary</w:t>
      </w:r>
    </w:p>
    <w:p>
      <w:r>
        <w:t>Many early-career traders and quantitative researchers fall into what this lecture calls the “20-something Modelur” trap: over-modeling, over-optimizing, and over-fitting a single strategy or asset until the backtest looks pristine—while remaining fully exposed to external return curves, regime shifts, and estimation error. The antidote is not more complexity on one equity curve, but a portfolio of strategies with distinct drivers, horizons, and risk exposures.</w:t>
      </w:r>
    </w:p>
    <w:p>
      <w:r>
        <w:t>This document synthesizes classical portfolio theory, modern quantitative intuition, and practical heuristics for building systems that survive, adapt, and compound. The goal is long-term stability through diversification of process and exposure—not perfection of a single fragile bet.</w:t>
      </w:r>
    </w:p>
    <w:p>
      <w:r>
        <w:br w:type="page"/>
      </w:r>
    </w:p>
    <w:p>
      <w:pPr>
        <w:pStyle w:val="Heading1"/>
      </w:pPr>
      <w:r>
        <w:t>1. The “20-Something Modelur” Mindset</w:t>
      </w:r>
    </w:p>
    <w:p>
      <w:pPr>
        <w:pStyle w:val="Heading2"/>
      </w:pPr>
      <w:r>
        <w:t>1.1 What the trap looks like</w:t>
      </w:r>
    </w:p>
    <w:p>
      <w:r>
        <w:t>The Modelur trap is the belief that sharper code, more parameters, and tighter in-sample fit will translate into durable live profits. In practice, each additional degree of freedom increases the chance that you are describing noise rather than structure.</w:t>
      </w:r>
    </w:p>
    <w:p>
      <w:pPr>
        <w:pStyle w:val="ListBullet"/>
      </w:pPr>
      <w:r>
        <w:rPr>
          <w:b/>
        </w:rPr>
        <w:t>Over-fitting one regime</w:t>
      </w:r>
      <w:r>
        <w:t xml:space="preserve"> — Chasing the highest in-sample Sharpe by tuning thresholds, lookbacks, and filters.</w:t>
      </w:r>
    </w:p>
    <w:p>
      <w:pPr>
        <w:pStyle w:val="ListBullet"/>
      </w:pPr>
      <w:r>
        <w:rPr>
          <w:b/>
        </w:rPr>
        <w:t>Single-asset obsession</w:t>
      </w:r>
      <w:r>
        <w:t xml:space="preserve"> — Assuming stationarity because the last three years “proved” the idea.</w:t>
      </w:r>
    </w:p>
    <w:p>
      <w:pPr>
        <w:pStyle w:val="ListBullet"/>
      </w:pPr>
      <w:r>
        <w:rPr>
          <w:b/>
        </w:rPr>
        <w:t>Ignoring tail dependence</w:t>
      </w:r>
      <w:r>
        <w:t xml:space="preserve"> — Treating correlation during calm markets as permanent diversification.</w:t>
      </w:r>
    </w:p>
    <w:p>
      <w:pPr>
        <w:pStyle w:val="ListBullet"/>
      </w:pPr>
      <w:r>
        <w:rPr>
          <w:b/>
        </w:rPr>
        <w:t>Multiple testing blindness</w:t>
      </w:r>
      <w:r>
        <w:t xml:space="preserve"> — Confusing statistical significance with economic edge after many trials.</w:t>
      </w:r>
    </w:p>
    <w:p>
      <w:pPr>
        <w:pStyle w:val="Heading2"/>
      </w:pPr>
      <w:r>
        <w:t>1.2 Why elegant models still fail</w:t>
      </w:r>
    </w:p>
    <w:p>
      <w:r>
        <w:t>Even a theoretically sound strategy remains a claim about future joint distributions of returns, volatilities, and correlations. You do not control macro shocks, liquidity events, policy shifts, or the behavior of other participants. Your model is one small map of a moving territory.</w:t>
      </w:r>
    </w:p>
    <w:p>
      <w:pPr>
        <w:ind w:left="720" w:right="360"/>
      </w:pPr>
      <w:r>
        <w:rPr>
          <w:i/>
          <w:color w:val="333333"/>
        </w:rPr>
        <w:t>Michaud (1989) famously described mean-variance optimization as “error maximization”: the optimizer overweights assets (or signals) with the largest estimated returns—precisely where estimation error is largest.</w:t>
      </w:r>
    </w:p>
    <w:p>
      <w:pPr>
        <w:pStyle w:val="Heading2"/>
      </w:pPr>
      <w:r>
        <w:t>1.3 The portfolio-level escape</w:t>
      </w:r>
    </w:p>
    <w:p>
      <w:r>
        <w:t>Instead of perfecting one fragile curve, design multiple strategies that fail for different reasons at different times. Think in terms of a dynamic ecosystem: momentum sleeves, mean-reversion sleeves, carry, volatility, macro overlays, and execution alphas—each with explicit risk budgets and kill criteria.</w:t>
      </w:r>
    </w:p>
    <w:p>
      <w:pPr>
        <w:pStyle w:val="ListBullet"/>
      </w:pPr>
      <w:r>
        <w:rPr>
          <w:b/>
        </w:rPr>
        <w:t>Economic mechanism</w:t>
      </w:r>
      <w:r>
        <w:t xml:space="preserve"> — Does it have an economic story, not only a statistical fit?</w:t>
      </w:r>
    </w:p>
    <w:p>
      <w:pPr>
        <w:pStyle w:val="ListBullet"/>
      </w:pPr>
      <w:r>
        <w:rPr>
          <w:b/>
        </w:rPr>
        <w:t>Implementation realism</w:t>
      </w:r>
      <w:r>
        <w:t xml:space="preserve"> — Does performance survive costs, slippage, and capacity constraints?</w:t>
      </w:r>
    </w:p>
    <w:p>
      <w:pPr>
        <w:pStyle w:val="ListBullet"/>
      </w:pPr>
      <w:r>
        <w:rPr>
          <w:b/>
        </w:rPr>
        <w:t>Orthogonality</w:t>
      </w:r>
      <w:r>
        <w:t xml:space="preserve"> — Does it add independent risk, not a repackaged version of what you already run?</w:t>
      </w:r>
    </w:p>
    <w:p>
      <w:pPr>
        <w:pStyle w:val="ListBullet"/>
      </w:pPr>
      <w:r>
        <w:rPr>
          <w:b/>
        </w:rPr>
        <w:t>Pre-mortem</w:t>
      </w:r>
      <w:r>
        <w:t xml:space="preserve"> — What would make you stop trading it before it destroys capital?</w:t>
      </w:r>
    </w:p>
    <w:p>
      <w:r>
        <w:br w:type="page"/>
      </w:r>
    </w:p>
    <w:p>
      <w:pPr>
        <w:pStyle w:val="Heading1"/>
      </w:pPr>
      <w:r>
        <w:t>2. The Rule of 30 and the Illusion of Diversification</w:t>
      </w:r>
    </w:p>
    <w:p>
      <w:pPr>
        <w:pStyle w:val="Heading2"/>
      </w:pPr>
      <w:r>
        <w:t>2.1 Where “30” comes from</w:t>
      </w:r>
    </w:p>
    <w:p>
      <w:r>
        <w:t>Classic mean-variance intuition suggests that idiosyncratic risk falls quickly as you add uncorrelated holdings. Under simplified assumptions, roughly 30 independent assets can remove most diversifiable variance. Arena Investors (2022) notes that in textbook setups, diversifiable variance may be reduced by about 97% near 30 positions—hence the folk “Rule of 30.”</w:t>
      </w:r>
    </w:p>
    <w:p>
      <w:r>
        <w:t>Nomura research (cited in industry summaries) similarly finds that spread between best and worst portfolios narrows rapidly until roughly 20–25 stocks, with marginal benefit fading past about 40 holdings for many equity mandates.</w:t>
      </w:r>
    </w:p>
    <w:p>
      <w:pPr>
        <w:pStyle w:val="Heading2"/>
      </w:pPr>
      <w:r>
        <w:t>2.2 Why 30 is not enough in the real world</w:t>
      </w:r>
    </w:p>
    <w:p>
      <w:r>
        <w:t>Investopedia’s “illusion of diversification” argument is that counting names is not the same as diversifying risk. Surz &amp; Price show that even 60 stocks may capture only ~86% of market diversification (R² vs. a broad benchmark)—because true diversification requires exposure across sectors, styles, geographies, and asset classes, not merely more tickers in one region.</w:t>
      </w:r>
    </w:p>
    <w:p>
      <w:pPr>
        <w:pStyle w:val="ListBullet"/>
      </w:pPr>
      <w:r>
        <w:rPr>
          <w:b/>
        </w:rPr>
        <w:t>Non-normality</w:t>
      </w:r>
      <w:r>
        <w:t xml:space="preserve"> — Returns are fat-tailed; correlations spike in stress.</w:t>
      </w:r>
    </w:p>
    <w:p>
      <w:pPr>
        <w:pStyle w:val="ListBullet"/>
      </w:pPr>
      <w:r>
        <w:rPr>
          <w:b/>
        </w:rPr>
        <w:t>Selection risk</w:t>
      </w:r>
      <w:r>
        <w:t xml:space="preserve"> — Concentrated winners dominate outcomes (FOMO risk).</w:t>
      </w:r>
    </w:p>
    <w:p>
      <w:pPr>
        <w:pStyle w:val="ListBullet"/>
      </w:pPr>
      <w:r>
        <w:rPr>
          <w:b/>
        </w:rPr>
        <w:t>Factor overlap</w:t>
      </w:r>
      <w:r>
        <w:t xml:space="preserve"> — Strategies share hidden factors (e.g., dollar liquidity, rates beta).</w:t>
      </w:r>
    </w:p>
    <w:p>
      <w:pPr>
        <w:pStyle w:val="Heading2"/>
      </w:pPr>
      <w:r>
        <w:t>2.3 Diminishing returns—and hard ceilings</w:t>
      </w:r>
    </w:p>
    <w:p>
      <w:r>
        <w:t>Recent work on signal portfolios (Hentschel, 2025) emphasizes that with positive average correlation among signals, Sharpe improvements from “breadth” converge to a finite limit. Adding correlated variants does not keep boosting risk-adjusted returns indefinitely; it increases overlap. Diversification helps until it doesn’t—then you need genuinely new drivers or lower average correlation.</w:t>
      </w:r>
    </w:p>
    <w:p>
      <w:pPr>
        <w:pStyle w:val="Heading2"/>
      </w:pPr>
      <w:r>
        <w:t>2.4 Practical takeaway for quants</w:t>
      </w:r>
    </w:p>
    <w:p>
      <w:r>
        <w:t>Use the Rule of 30 as a starting heuristic for idiosyncratic risk within one sleeve—not as proof that 30 correlated crypto alt strategies equal diversification. For systematic traders, the analog is: 30 parameter sets on the same idea ≠ 30 ideas.</w:t>
      </w:r>
    </w:p>
    <w:p>
      <w:r>
        <w:br w:type="page"/>
      </w:r>
    </w:p>
    <w:p>
      <w:pPr>
        <w:pStyle w:val="Heading1"/>
      </w:pPr>
      <w:r>
        <w:t>3. Modern Portfolio Theory (MPT) — What Still Matters</w:t>
      </w:r>
    </w:p>
    <w:p>
      <w:r>
        <w:t>Markowitz’s Modern Portfolio Theory (Corporate Finance Institute summary) frames investors as risk-averse: for a given expected return, prefer lower variance. MPT’s enduring insight is that portfolio risk depends on covariances, not just individual volatilities.</w:t>
      </w:r>
    </w:p>
    <w:p>
      <w:pPr>
        <w:pStyle w:val="Heading2"/>
      </w:pPr>
      <w:r>
        <w:t>3.1 Idiosyncratic vs. systematic risk</w:t>
      </w:r>
    </w:p>
    <w:p>
      <w:pPr>
        <w:pStyle w:val="ListBullet"/>
      </w:pPr>
      <w:r>
        <w:rPr>
          <w:b/>
        </w:rPr>
        <w:t>Idiosyncratic</w:t>
      </w:r>
      <w:r>
        <w:t xml:space="preserve"> — Asset-specific; reducible via diversification.</w:t>
      </w:r>
    </w:p>
    <w:p>
      <w:pPr>
        <w:pStyle w:val="ListBullet"/>
      </w:pPr>
      <w:r>
        <w:rPr>
          <w:b/>
        </w:rPr>
        <w:t>Systematic</w:t>
      </w:r>
      <w:r>
        <w:t xml:space="preserve"> — Market-wide; not diversifiable away.</w:t>
      </w:r>
    </w:p>
    <w:p>
      <w:pPr>
        <w:pStyle w:val="Heading2"/>
      </w:pPr>
      <w:r>
        <w:t>3.2 Efficient frontier and capital allocation line</w:t>
      </w:r>
    </w:p>
    <w:p>
      <w:r>
        <w:t>The efficient frontier is the set of portfolios maximizing expected return for each level of risk. Introducing a risk-free asset yields the Capital Allocation Line (CAL); the tangency portfolio maximizes the Sharpe ratio (reward per unit of volatility).</w:t>
      </w:r>
    </w:p>
    <w:p>
      <w:r>
        <w:t>MPT is a language for trade-offs. Its weakness is not the geometry—it is that inputs (means, variances, correlations) are estimated with error and regimes change.</w:t>
      </w:r>
    </w:p>
    <w:p>
      <w:r>
        <w:br w:type="page"/>
      </w:r>
    </w:p>
    <w:p>
      <w:pPr>
        <w:pStyle w:val="Heading1"/>
      </w:pPr>
      <w:r>
        <w:t>4. Optimizing for Sharpe Ratio — Power and Pitfalls</w:t>
      </w:r>
    </w:p>
    <w:p>
      <w:pPr>
        <w:pStyle w:val="Heading2"/>
      </w:pPr>
      <w:r>
        <w:t>4.1 Definition and intuition</w:t>
      </w:r>
    </w:p>
    <w:p>
      <w:r>
        <w:t>Sharpe ratio = (portfolio return − risk-free rate) / portfolio volatility. It summarizes risk-adjusted performance and appears as the slope of the CAL in mean-variance diagrams.</w:t>
      </w:r>
    </w:p>
    <w:p>
      <w:pPr>
        <w:pStyle w:val="Heading2"/>
      </w:pPr>
      <w:r>
        <w:t>4.2 Where most people go wrong</w:t>
      </w:r>
    </w:p>
    <w:p>
      <w:pPr>
        <w:pStyle w:val="ListBullet"/>
      </w:pPr>
      <w:r>
        <w:rPr>
          <w:b/>
        </w:rPr>
        <w:t>In-sample worship</w:t>
      </w:r>
      <w:r>
        <w:t xml:space="preserve"> In-sample max Sharpe portfolios are optimistically biased; expected out-of-sample Sharpe is lower, especially when assets ≫ observations (De Miguel et al.; Kan &amp; Zhou).</w:t>
      </w:r>
    </w:p>
    <w:p>
      <w:pPr>
        <w:pStyle w:val="ListBullet"/>
      </w:pPr>
      <w:r>
        <w:rPr>
          <w:b/>
        </w:rPr>
        <w:t>Mean estimation dominance</w:t>
      </w:r>
      <w:r>
        <w:t xml:space="preserve"> Small errors in means get amplified; Michaud’s “error maximization” overweight tails of the return estimate distribution.</w:t>
      </w:r>
    </w:p>
    <w:p>
      <w:pPr>
        <w:pStyle w:val="ListBullet"/>
      </w:pPr>
      <w:r>
        <w:rPr>
          <w:b/>
        </w:rPr>
        <w:t>Correlation instability</w:t>
      </w:r>
      <w:r>
        <w:t xml:space="preserve"> Research (e.g., Kolm et al., 2022) shows correlation misspecification can dominate mean errors in distorting the perceived efficient frontier.</w:t>
      </w:r>
    </w:p>
    <w:p>
      <w:pPr>
        <w:pStyle w:val="ListBullet"/>
      </w:pPr>
      <w:r>
        <w:rPr>
          <w:b/>
        </w:rPr>
        <w:t>Complexity without regularization</w:t>
      </w:r>
      <w:r>
        <w:t xml:space="preserve"> Optimized weights that look optimal on history often underperform simple 1/N or risk-parity baselines out of sample.</w:t>
      </w:r>
    </w:p>
    <w:p>
      <w:pPr>
        <w:pStyle w:val="ListBullet"/>
      </w:pPr>
      <w:r>
        <w:rPr>
          <w:b/>
        </w:rPr>
        <w:t>Multiple testing</w:t>
      </w:r>
      <w:r>
        <w:t xml:space="preserve"> Selecting the best of many backtests inflates reported Sharpe; use Deflated Sharpe, PBO/CSCV, and walk-forward validation (Bailey &amp; López de Prado).</w:t>
      </w:r>
    </w:p>
    <w:p>
      <w:pPr>
        <w:pStyle w:val="Heading2"/>
      </w:pPr>
      <w:r>
        <w:t>4.3 Better practices</w:t>
      </w:r>
    </w:p>
    <w:p>
      <w:pPr>
        <w:pStyle w:val="ListNumber"/>
      </w:pPr>
      <w:r>
        <w:t>Separate research Sharpe from investable Sharpe (net of fees, turnover, capacity).</w:t>
      </w:r>
    </w:p>
    <w:p>
      <w:pPr>
        <w:pStyle w:val="ListNumber"/>
      </w:pPr>
      <w:r>
        <w:t>Prefer stable weights: equal risk contribution, volatility targeting, or constrained optimization.</w:t>
      </w:r>
    </w:p>
    <w:p>
      <w:pPr>
        <w:pStyle w:val="ListNumber"/>
      </w:pPr>
      <w:r>
        <w:t>Shrink covariances (Ledoit–Wolf) and treat expected returns as noisy—or omit them.</w:t>
      </w:r>
    </w:p>
    <w:p>
      <w:pPr>
        <w:pStyle w:val="ListNumber"/>
      </w:pPr>
      <w:r>
        <w:t>Report distributions of outcomes under resampled correlations and stressed scenarios.</w:t>
      </w:r>
    </w:p>
    <w:p>
      <w:pPr>
        <w:pStyle w:val="ListNumber"/>
      </w:pPr>
      <w:r>
        <w:t>Optimize the portfolio of strategies, not only parameters within one strategy.</w:t>
      </w:r>
    </w:p>
    <w:p>
      <w:r>
        <w:br w:type="page"/>
      </w:r>
    </w:p>
    <w:p>
      <w:pPr>
        <w:pStyle w:val="Heading1"/>
      </w:pPr>
      <w:r>
        <w:t>5. Factor Models and Cross-Strategy Diversification</w:t>
      </w:r>
    </w:p>
    <w:p>
      <w:r>
        <w:t>Factor thinking asks: what systematic exposures explain returns? For a quant portfolio, each strategy is a bundle of factor bets—momentum, value, carry, volatility risk premium, liquidity provision, etc.</w:t>
      </w:r>
    </w:p>
    <w:p>
      <w:pPr>
        <w:pStyle w:val="Heading2"/>
      </w:pPr>
      <w:r>
        <w:t>5.1 Why factors beat counting strategies</w:t>
      </w:r>
    </w:p>
    <w:p>
      <w:r>
        <w:t>Two strategies with different names may both lose when rates rise or when cross-asset correlation goes to one. Factor decomposition reveals hidden overlap before live drawdowns do.</w:t>
      </w:r>
    </w:p>
    <w:p>
      <w:pPr>
        <w:pStyle w:val="Heading2"/>
      </w:pPr>
      <w:r>
        <w:t>5.2 Building orthogonal sleeves</w:t>
      </w:r>
    </w:p>
    <w:p>
      <w:pPr>
        <w:pStyle w:val="ListBullet"/>
      </w:pPr>
      <w:r>
        <w:rPr>
          <w:b/>
        </w:rPr>
        <w:t>Align returns</w:t>
      </w:r>
      <w:r>
        <w:t xml:space="preserve"> — Align P&amp;L on a common calendar and currency.</w:t>
      </w:r>
    </w:p>
    <w:p>
      <w:pPr>
        <w:pStyle w:val="ListBullet"/>
      </w:pPr>
      <w:r>
        <w:rPr>
          <w:b/>
        </w:rPr>
        <w:t>Correlation matrix</w:t>
      </w:r>
      <w:r>
        <w:t xml:space="preserve"> — Measure pairwise correlation and rolling correlation in stress windows.</w:t>
      </w:r>
    </w:p>
    <w:p>
      <w:pPr>
        <w:pStyle w:val="ListBullet"/>
      </w:pPr>
      <w:r>
        <w:rPr>
          <w:b/>
        </w:rPr>
        <w:t>Tail co-movement</w:t>
      </w:r>
      <w:r>
        <w:t xml:space="preserve"> — Track simultaneous drawdowns, not just average correlation.</w:t>
      </w:r>
    </w:p>
    <w:p>
      <w:pPr>
        <w:pStyle w:val="ListBullet"/>
      </w:pPr>
      <w:r>
        <w:rPr>
          <w:b/>
        </w:rPr>
        <w:t>Admission rule</w:t>
      </w:r>
      <w:r>
        <w:t xml:space="preserve"> — Require economic distinction + low correlation (&lt; ~0.3) before adding a sleeve.</w:t>
      </w:r>
    </w:p>
    <w:p>
      <w:pPr>
        <w:pStyle w:val="Heading2"/>
      </w:pPr>
      <w:r>
        <w:t>5.3 Simple combination rules that work</w:t>
      </w:r>
    </w:p>
    <w:p>
      <w:r>
        <w:t>Empirical studies on multi-signal equity models often show equal-weight composites beating optimized weights out of sample: optimized weights fit historical correlations; equal weights are harder to overfit. The same logic applies to combining trading strategies.</w:t>
      </w:r>
    </w:p>
    <w:p>
      <w:r>
        <w:br w:type="page"/>
      </w:r>
    </w:p>
    <w:p>
      <w:pPr>
        <w:pStyle w:val="Heading1"/>
      </w:pPr>
      <w:r>
        <w:t>6. Portfolios That Survive When Code or Assumptions Fail</w:t>
      </w:r>
    </w:p>
    <w:p>
      <w:pPr>
        <w:pStyle w:val="Heading2"/>
      </w:pPr>
      <w:r>
        <w:t>6.1 Design for failure modes</w:t>
      </w:r>
    </w:p>
    <w:p>
      <w:r>
        <w:t>Assume any single model will be wrong eventually. Robust portfolios encode redundancy: multiple uncorrelated edges, position limits, volatility scaling, and circuit breakers.</w:t>
      </w:r>
    </w:p>
    <w:p>
      <w:pPr>
        <w:pStyle w:val="ListBullet"/>
      </w:pPr>
      <w:r>
        <w:rPr>
          <w:b/>
        </w:rPr>
        <w:t>Risk budgeting</w:t>
      </w:r>
      <w:r>
        <w:t xml:space="preserve"> — Cap weight per strategy and per factor cluster.</w:t>
      </w:r>
    </w:p>
    <w:p>
      <w:pPr>
        <w:pStyle w:val="ListBullet"/>
      </w:pPr>
      <w:r>
        <w:rPr>
          <w:b/>
        </w:rPr>
        <w:t>Vol targeting</w:t>
      </w:r>
      <w:r>
        <w:t xml:space="preserve"> — Scale exposure when realized vol rises.</w:t>
      </w:r>
    </w:p>
    <w:p>
      <w:pPr>
        <w:pStyle w:val="ListBullet"/>
      </w:pPr>
      <w:r>
        <w:rPr>
          <w:b/>
        </w:rPr>
        <w:t>Drawdown governance</w:t>
      </w:r>
      <w:r>
        <w:t xml:space="preserve"> — Predefine max loss per sleeve per month/quarter.</w:t>
      </w:r>
    </w:p>
    <w:p>
      <w:pPr>
        <w:pStyle w:val="ListBullet"/>
      </w:pPr>
      <w:r>
        <w:rPr>
          <w:b/>
        </w:rPr>
        <w:t>Monitoring</w:t>
      </w:r>
      <w:r>
        <w:t xml:space="preserve"> — Paper or reduce size when live vs. backtest diverges.</w:t>
      </w:r>
    </w:p>
    <w:p>
      <w:pPr>
        <w:pStyle w:val="Heading2"/>
      </w:pPr>
      <w:r>
        <w:t>6.2 Hierarchical Risk Parity (HRP)</w:t>
      </w:r>
    </w:p>
    <w:p>
      <w:r>
        <w:t>Marcos López de Prado’s Hierarchical Risk Parity (2016) addresses “Markowitz’s curse”: as correlations rise, you need diversification more—but covariance inversion becomes unstable (high condition number), so mean-variance solutions become fragile.</w:t>
      </w:r>
    </w:p>
    <w:p>
      <w:pPr>
        <w:pStyle w:val="ListNumber"/>
      </w:pPr>
      <w:r>
        <w:t>Hierarchical clustering of assets/strategies by correlation distance.</w:t>
      </w:r>
    </w:p>
    <w:p>
      <w:pPr>
        <w:pStyle w:val="ListNumber"/>
      </w:pPr>
      <w:r>
        <w:t>Quasi-diagonalization of the covariance matrix (reorder without full PCA change of basis).</w:t>
      </w:r>
    </w:p>
    <w:p>
      <w:pPr>
        <w:pStyle w:val="ListNumber"/>
      </w:pPr>
      <w:r>
        <w:t>Recursive bisection: allocate capital inversely to cluster variance.</w:t>
      </w:r>
    </w:p>
    <w:p>
      <w:r>
        <w:t>HRP uses covariance structure without requiring fragile return forecasts and remains usable when the covariance matrix is ill-conditioned—common in large strategy portfolios.</w:t>
      </w:r>
    </w:p>
    <w:p>
      <w:pPr>
        <w:pStyle w:val="Heading2"/>
      </w:pPr>
      <w:r>
        <w:t>6.3 Antifragility in practice</w:t>
      </w:r>
    </w:p>
    <w:p>
      <w:r>
        <w:t>Antifragile here means benefiting from disorder modestly: volatility sleeves that earn in chaos, rebalancing that buys dislocation, and research pipelines that learn from live errors. The portfolio should get more conservative when estimates are unreliable—not more levered.</w:t>
      </w:r>
    </w:p>
    <w:p>
      <w:r>
        <w:br w:type="page"/>
      </w:r>
    </w:p>
    <w:p>
      <w:pPr>
        <w:pStyle w:val="Heading1"/>
      </w:pPr>
      <w:r>
        <w:t>7. Simple Heuristics for a Smoother Return Curve</w:t>
      </w:r>
    </w:p>
    <w:tbl>
      <w:tblPr>
        <w:tblStyle w:val="TableGrid"/>
        <w:tblW w:type="auto" w:w="0"/>
        <w:tblLook w:firstColumn="1" w:firstRow="1" w:lastColumn="0" w:lastRow="0" w:noHBand="0" w:noVBand="1" w:val="04A0"/>
      </w:tblPr>
      <w:tblGrid>
        <w:gridCol w:w="4320"/>
        <w:gridCol w:w="4320"/>
      </w:tblGrid>
      <w:tr>
        <w:tc>
          <w:tcPr>
            <w:tcW w:type="dxa" w:w="4320"/>
          </w:tcPr>
          <w:p>
            <w:r>
              <w:t>Heuristic</w:t>
            </w:r>
          </w:p>
        </w:tc>
        <w:tc>
          <w:tcPr>
            <w:tcW w:type="dxa" w:w="4320"/>
          </w:tcPr>
          <w:p>
            <w:r>
              <w:t>Intent</w:t>
            </w:r>
          </w:p>
        </w:tc>
      </w:tr>
      <w:tr>
        <w:tc>
          <w:tcPr>
            <w:tcW w:type="dxa" w:w="4320"/>
          </w:tcPr>
          <w:p>
            <w:r>
              <w:t>1/N or equal risk weight across strategies</w:t>
            </w:r>
          </w:p>
        </w:tc>
        <w:tc>
          <w:tcPr>
            <w:tcW w:type="dxa" w:w="4320"/>
          </w:tcPr>
          <w:p>
            <w:r>
              <w:t>Reduce estimation error; baseline hard to beat OOS</w:t>
            </w:r>
          </w:p>
        </w:tc>
      </w:tr>
      <w:tr>
        <w:tc>
          <w:tcPr>
            <w:tcW w:type="dxa" w:w="4320"/>
          </w:tcPr>
          <w:p>
            <w:r>
              <w:t>Cap pairwise correlation for new sleeves</w:t>
            </w:r>
          </w:p>
        </w:tc>
        <w:tc>
          <w:tcPr>
            <w:tcW w:type="dxa" w:w="4320"/>
          </w:tcPr>
          <w:p>
            <w:r>
              <w:t>Avoid duplicate bets</w:t>
            </w:r>
          </w:p>
        </w:tc>
      </w:tr>
      <w:tr>
        <w:tc>
          <w:tcPr>
            <w:tcW w:type="dxa" w:w="4320"/>
          </w:tcPr>
          <w:p>
            <w:r>
              <w:t>Volatility-scale each strategy before blending</w:t>
            </w:r>
          </w:p>
        </w:tc>
        <w:tc>
          <w:tcPr>
            <w:tcW w:type="dxa" w:w="4320"/>
          </w:tcPr>
          <w:p>
            <w:r>
              <w:t>Prevent one loud sleeve from dominating</w:t>
            </w:r>
          </w:p>
        </w:tc>
      </w:tr>
      <w:tr>
        <w:tc>
          <w:tcPr>
            <w:tcW w:type="dxa" w:w="4320"/>
          </w:tcPr>
          <w:p>
            <w:r>
              <w:t>Rebalance on bands (e.g., ±10% from target)</w:t>
            </w:r>
          </w:p>
        </w:tc>
        <w:tc>
          <w:tcPr>
            <w:tcW w:type="dxa" w:w="4320"/>
          </w:tcPr>
          <w:p>
            <w:r>
              <w:t>Harvest diversification without over-trading</w:t>
            </w:r>
          </w:p>
        </w:tc>
      </w:tr>
      <w:tr>
        <w:tc>
          <w:tcPr>
            <w:tcW w:type="dxa" w:w="4320"/>
          </w:tcPr>
          <w:p>
            <w:r>
              <w:t>Stress-test: 2008, 2020, rate shock scenarios</w:t>
            </w:r>
          </w:p>
        </w:tc>
        <w:tc>
          <w:tcPr>
            <w:tcW w:type="dxa" w:w="4320"/>
          </w:tcPr>
          <w:p>
            <w:r>
              <w:t>See correlation breakdown before live pain</w:t>
            </w:r>
          </w:p>
        </w:tc>
      </w:tr>
      <w:tr>
        <w:tc>
          <w:tcPr>
            <w:tcW w:type="dxa" w:w="4320"/>
          </w:tcPr>
          <w:p>
            <w:r>
              <w:t>Walk-forward + holdout years</w:t>
            </w:r>
          </w:p>
        </w:tc>
        <w:tc>
          <w:tcPr>
            <w:tcW w:type="dxa" w:w="4320"/>
          </w:tcPr>
          <w:p>
            <w:r>
              <w:t>Separate research from validation</w:t>
            </w:r>
          </w:p>
        </w:tc>
      </w:tr>
      <w:tr>
        <w:tc>
          <w:tcPr>
            <w:tcW w:type="dxa" w:w="4320"/>
          </w:tcPr>
          <w:p>
            <w:r>
              <w:t>Deflated Sharpe / PBO when trialing many variants</w:t>
            </w:r>
          </w:p>
        </w:tc>
        <w:tc>
          <w:tcPr>
            <w:tcW w:type="dxa" w:w="4320"/>
          </w:tcPr>
          <w:p>
            <w:r>
              <w:t>Correct for selection bias</w:t>
            </w:r>
          </w:p>
        </w:tc>
      </w:tr>
      <w:tr>
        <w:tc>
          <w:tcPr>
            <w:tcW w:type="dxa" w:w="4320"/>
          </w:tcPr>
          <w:p>
            <w:r>
              <w:t>Document kill rules in writing</w:t>
            </w:r>
          </w:p>
        </w:tc>
        <w:tc>
          <w:tcPr>
            <w:tcW w:type="dxa" w:w="4320"/>
          </w:tcPr>
          <w:p>
            <w:r>
              <w:t>Remove discretion during drawdowns</w:t>
            </w:r>
          </w:p>
        </w:tc>
      </w:tr>
    </w:tbl>
    <w:p/>
    <w:p>
      <w:pPr>
        <w:pStyle w:val="Heading2"/>
      </w:pPr>
      <w:r>
        <w:t>7.1 Volatility vs. fragility</w:t>
      </w:r>
    </w:p>
    <w:p>
      <w:r>
        <w:t>Lowering volatility alone does not create robustness if tail risks are synchronized. Prefer metrics that punish simultaneous losses: maximum portfolio drawdown under stress, downside correlation, and time-under-water at the portfolio level.</w:t>
      </w:r>
    </w:p>
    <w:p>
      <w:r>
        <w:br w:type="page"/>
      </w:r>
    </w:p>
    <w:p>
      <w:pPr>
        <w:pStyle w:val="Heading1"/>
      </w:pPr>
      <w:r>
        <w:t>8. Suggested Workflow: From Single Strategy to Ecosystem</w:t>
      </w:r>
    </w:p>
    <w:p>
      <w:pPr>
        <w:pStyle w:val="ListNumber"/>
      </w:pPr>
      <w:r>
        <w:t>Articulate economic mechanism and failure scenarios for Strategy A.</w:t>
      </w:r>
    </w:p>
    <w:p>
      <w:pPr>
        <w:pStyle w:val="ListNumber"/>
      </w:pPr>
      <w:r>
        <w:t>Validate with costs, capacity, and out-of-sample windows—not only IS Sharpe.</w:t>
      </w:r>
    </w:p>
    <w:p>
      <w:pPr>
        <w:pStyle w:val="ListNumber"/>
      </w:pPr>
      <w:r>
        <w:t>Add Strategy B only if drivers differ and stress correlations are acceptable.</w:t>
      </w:r>
    </w:p>
    <w:p>
      <w:pPr>
        <w:pStyle w:val="ListNumber"/>
      </w:pPr>
      <w:r>
        <w:t>Combine with simple weights first; introduce optimization only with shrinkage/constraints.</w:t>
      </w:r>
    </w:p>
    <w:p>
      <w:pPr>
        <w:pStyle w:val="ListNumber"/>
      </w:pPr>
      <w:r>
        <w:t>Monitor factor overlap monthly; retire sleeves that drift into redundancy.</w:t>
      </w:r>
    </w:p>
    <w:p>
      <w:pPr>
        <w:pStyle w:val="ListNumber"/>
      </w:pPr>
      <w:r>
        <w:t>Revisit capital allocation when regime indicators shift (vol level, correlation structure).</w:t>
      </w:r>
    </w:p>
    <w:p>
      <w:pPr>
        <w:pStyle w:val="Heading2"/>
      </w:pPr>
      <w:r>
        <w:t>8.1 Lecture closing</w:t>
      </w:r>
    </w:p>
    <w:p>
      <w:pPr>
        <w:ind w:left="720" w:right="360"/>
      </w:pPr>
      <w:r>
        <w:rPr>
          <w:i/>
          <w:color w:val="333333"/>
        </w:rPr>
        <w:t>The aim isn’t to chase perfection—it’s to design systems that survive, adapt, and compound. See your portfolio as a dynamic ecosystem, not a single bet.</w:t>
      </w:r>
    </w:p>
    <w:p>
      <w:r>
        <w:br w:type="page"/>
      </w:r>
    </w:p>
    <w:p>
      <w:pPr>
        <w:pStyle w:val="Heading1"/>
      </w:pPr>
      <w:r>
        <w:t>Appendix A: Core Formulas</w:t>
      </w:r>
    </w:p>
    <w:p>
      <w:r>
        <w:t>These relationships underpin the lecture. They are intentionally compact; full derivations appear in standard texts (Markowitz; Cochrane; López de Prado).</w:t>
      </w:r>
    </w:p>
    <w:p>
      <w:pPr>
        <w:pStyle w:val="Heading2"/>
      </w:pPr>
      <w:r>
        <w:t>A.1 Portfolio return and variance (two assets)</w:t>
      </w:r>
    </w:p>
    <w:p>
      <w:pPr>
        <w:ind w:left="504"/>
      </w:pPr>
      <w:r>
        <w:rPr>
          <w:rFonts w:ascii="Consolas" w:hAnsi="Consolas"/>
          <w:sz w:val="20"/>
        </w:rPr>
        <w:t>E[R_p] = w_A · E[R_A] + w_B · E[R_B]</w:t>
        <w:br/>
        <w:br/>
        <w:t>Var(R_p) = w_A² σ_A² + w_B² σ_B² + 2 w_A w_B ρ_AB σ_A σ_B</w:t>
        <w:br/>
        <w:br/>
        <w:t>When ρ_AB &lt; 1, portfolio variance is below the weighted average of individual variances.</w:t>
      </w:r>
    </w:p>
    <w:p>
      <w:pPr>
        <w:pStyle w:val="Heading2"/>
      </w:pPr>
      <w:r>
        <w:t>A.2 Sharpe ratio</w:t>
      </w:r>
    </w:p>
    <w:p>
      <w:pPr>
        <w:ind w:left="504"/>
      </w:pPr>
      <w:r>
        <w:rPr>
          <w:rFonts w:ascii="Consolas" w:hAnsi="Consolas"/>
          <w:sz w:val="20"/>
        </w:rPr>
        <w:t>SR = (E[R_p] − R_f) / σ_p</w:t>
        <w:br/>
        <w:br/>
        <w:t>On the mean-variance diagram, the tangency portfolio maximizes SR among risky portfolios.</w:t>
      </w:r>
    </w:p>
    <w:p>
      <w:pPr>
        <w:pStyle w:val="Heading2"/>
      </w:pPr>
      <w:r>
        <w:t>A.3 Diversification and correlation</w:t>
      </w:r>
    </w:p>
    <w:p>
      <w:r>
        <w:t>For N equally weighted assets with identical variance σ² and pairwise correlation ρ, portfolio variance scales approximately as:</w:t>
      </w:r>
    </w:p>
    <w:p>
      <w:pPr>
        <w:ind w:left="504"/>
      </w:pPr>
      <w:r>
        <w:rPr>
          <w:rFonts w:ascii="Consolas" w:hAnsi="Consolas"/>
          <w:sz w:val="20"/>
        </w:rPr>
        <w:t>σ_p² ≈ (ρ + (1 − ρ) / N) · σ²</w:t>
      </w:r>
    </w:p>
    <w:p>
      <w:r>
        <w:t>As N → ∞ with fixed ρ &gt; 0, variance does not go to zero—systematic correlation ρ remains. This is why “more names” without lower ρ hits a ceiling.</w:t>
      </w:r>
    </w:p>
    <w:p>
      <w:r>
        <w:br w:type="page"/>
      </w:r>
    </w:p>
    <w:p>
      <w:pPr>
        <w:pStyle w:val="Heading1"/>
      </w:pPr>
      <w:r>
        <w:t>Appendix B: Worked Example — Three Strategy Portfolio</w:t>
      </w:r>
    </w:p>
    <w:p>
      <w:r>
        <w:t>Illustrative monthly statistics (education only—not live trade recommendations). Three sleeves: trend (T), mean reversion (M), volatility carry (V).</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Sleeve</w:t>
            </w:r>
          </w:p>
        </w:tc>
        <w:tc>
          <w:tcPr>
            <w:tcW w:type="dxa" w:w="1728"/>
          </w:tcPr>
          <w:p>
            <w:r>
              <w:t>Ann. return</w:t>
            </w:r>
          </w:p>
        </w:tc>
        <w:tc>
          <w:tcPr>
            <w:tcW w:type="dxa" w:w="1728"/>
          </w:tcPr>
          <w:p>
            <w:r>
              <w:t>Ann. vol</w:t>
            </w:r>
          </w:p>
        </w:tc>
        <w:tc>
          <w:tcPr>
            <w:tcW w:type="dxa" w:w="1728"/>
          </w:tcPr>
          <w:p>
            <w:r>
              <w:t>Sharpe (≈)</w:t>
            </w:r>
          </w:p>
        </w:tc>
        <w:tc>
          <w:tcPr>
            <w:tcW w:type="dxa" w:w="1728"/>
          </w:tcPr>
          <w:p>
            <w:r>
              <w:t>Max DD (illustrative)</w:t>
            </w:r>
          </w:p>
        </w:tc>
      </w:tr>
      <w:tr>
        <w:tc>
          <w:tcPr>
            <w:tcW w:type="dxa" w:w="1728"/>
          </w:tcPr>
          <w:p>
            <w:r>
              <w:t>Trend (T)</w:t>
            </w:r>
          </w:p>
        </w:tc>
        <w:tc>
          <w:tcPr>
            <w:tcW w:type="dxa" w:w="1728"/>
          </w:tcPr>
          <w:p>
            <w:r>
              <w:t>12%</w:t>
            </w:r>
          </w:p>
        </w:tc>
        <w:tc>
          <w:tcPr>
            <w:tcW w:type="dxa" w:w="1728"/>
          </w:tcPr>
          <w:p>
            <w:r>
              <w:t>18%</w:t>
            </w:r>
          </w:p>
        </w:tc>
        <w:tc>
          <w:tcPr>
            <w:tcW w:type="dxa" w:w="1728"/>
          </w:tcPr>
          <w:p>
            <w:r>
              <w:t>0.67</w:t>
            </w:r>
          </w:p>
        </w:tc>
        <w:tc>
          <w:tcPr>
            <w:tcW w:type="dxa" w:w="1728"/>
          </w:tcPr>
          <w:p>
            <w:r>
              <w:t>−22%</w:t>
            </w:r>
          </w:p>
        </w:tc>
      </w:tr>
      <w:tr>
        <w:tc>
          <w:tcPr>
            <w:tcW w:type="dxa" w:w="1728"/>
          </w:tcPr>
          <w:p>
            <w:r>
              <w:t>Mean rev. (M)</w:t>
            </w:r>
          </w:p>
        </w:tc>
        <w:tc>
          <w:tcPr>
            <w:tcW w:type="dxa" w:w="1728"/>
          </w:tcPr>
          <w:p>
            <w:r>
              <w:t>8%</w:t>
            </w:r>
          </w:p>
        </w:tc>
        <w:tc>
          <w:tcPr>
            <w:tcW w:type="dxa" w:w="1728"/>
          </w:tcPr>
          <w:p>
            <w:r>
              <w:t>12%</w:t>
            </w:r>
          </w:p>
        </w:tc>
        <w:tc>
          <w:tcPr>
            <w:tcW w:type="dxa" w:w="1728"/>
          </w:tcPr>
          <w:p>
            <w:r>
              <w:t>0.67</w:t>
            </w:r>
          </w:p>
        </w:tc>
        <w:tc>
          <w:tcPr>
            <w:tcW w:type="dxa" w:w="1728"/>
          </w:tcPr>
          <w:p>
            <w:r>
              <w:t>−15%</w:t>
            </w:r>
          </w:p>
        </w:tc>
      </w:tr>
      <w:tr>
        <w:tc>
          <w:tcPr>
            <w:tcW w:type="dxa" w:w="1728"/>
          </w:tcPr>
          <w:p>
            <w:r>
              <w:t>Vol carry (V)</w:t>
            </w:r>
          </w:p>
        </w:tc>
        <w:tc>
          <w:tcPr>
            <w:tcW w:type="dxa" w:w="1728"/>
          </w:tcPr>
          <w:p>
            <w:r>
              <w:t>6%</w:t>
            </w:r>
          </w:p>
        </w:tc>
        <w:tc>
          <w:tcPr>
            <w:tcW w:type="dxa" w:w="1728"/>
          </w:tcPr>
          <w:p>
            <w:r>
              <w:t>10%</w:t>
            </w:r>
          </w:p>
        </w:tc>
        <w:tc>
          <w:tcPr>
            <w:tcW w:type="dxa" w:w="1728"/>
          </w:tcPr>
          <w:p>
            <w:r>
              <w:t>0.60</w:t>
            </w:r>
          </w:p>
        </w:tc>
        <w:tc>
          <w:tcPr>
            <w:tcW w:type="dxa" w:w="1728"/>
          </w:tcPr>
          <w:p>
            <w:r>
              <w:t>−12%</w:t>
            </w:r>
          </w:p>
        </w:tc>
      </w:tr>
    </w:tbl>
    <w:p/>
    <w:p>
      <w:r>
        <w:t>Pairwise correlations (monthly, illustrative):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T</w:t>
            </w:r>
          </w:p>
        </w:tc>
        <w:tc>
          <w:tcPr>
            <w:tcW w:type="dxa" w:w="2160"/>
          </w:tcPr>
          <w:p>
            <w:r>
              <w:t>M</w:t>
            </w:r>
          </w:p>
        </w:tc>
        <w:tc>
          <w:tcPr>
            <w:tcW w:type="dxa" w:w="2160"/>
          </w:tcPr>
          <w:p>
            <w:r>
              <w:t>V</w:t>
            </w:r>
          </w:p>
        </w:tc>
      </w:tr>
      <w:tr>
        <w:tc>
          <w:tcPr>
            <w:tcW w:type="dxa" w:w="2160"/>
          </w:tcPr>
          <w:p>
            <w:r>
              <w:t>T</w:t>
            </w:r>
          </w:p>
        </w:tc>
        <w:tc>
          <w:tcPr>
            <w:tcW w:type="dxa" w:w="2160"/>
          </w:tcPr>
          <w:p>
            <w:r>
              <w:t>1.00</w:t>
            </w:r>
          </w:p>
        </w:tc>
        <w:tc>
          <w:tcPr>
            <w:tcW w:type="dxa" w:w="2160"/>
          </w:tcPr>
          <w:p>
            <w:r>
              <w:t>−0.25</w:t>
            </w:r>
          </w:p>
        </w:tc>
        <w:tc>
          <w:tcPr>
            <w:tcW w:type="dxa" w:w="2160"/>
          </w:tcPr>
          <w:p>
            <w:r>
              <w:t>0.15</w:t>
            </w:r>
          </w:p>
        </w:tc>
      </w:tr>
      <w:tr>
        <w:tc>
          <w:tcPr>
            <w:tcW w:type="dxa" w:w="2160"/>
          </w:tcPr>
          <w:p>
            <w:r>
              <w:t>M</w:t>
            </w:r>
          </w:p>
        </w:tc>
        <w:tc>
          <w:tcPr>
            <w:tcW w:type="dxa" w:w="2160"/>
          </w:tcPr>
          <w:p>
            <w:r>
              <w:t>−0.25</w:t>
            </w:r>
          </w:p>
        </w:tc>
        <w:tc>
          <w:tcPr>
            <w:tcW w:type="dxa" w:w="2160"/>
          </w:tcPr>
          <w:p>
            <w:r>
              <w:t>1.00</w:t>
            </w:r>
          </w:p>
        </w:tc>
        <w:tc>
          <w:tcPr>
            <w:tcW w:type="dxa" w:w="2160"/>
          </w:tcPr>
          <w:p>
            <w:r>
              <w:t>0.10</w:t>
            </w:r>
          </w:p>
        </w:tc>
      </w:tr>
      <w:tr>
        <w:tc>
          <w:tcPr>
            <w:tcW w:type="dxa" w:w="2160"/>
          </w:tcPr>
          <w:p>
            <w:r>
              <w:t>V</w:t>
            </w:r>
          </w:p>
        </w:tc>
        <w:tc>
          <w:tcPr>
            <w:tcW w:type="dxa" w:w="2160"/>
          </w:tcPr>
          <w:p>
            <w:r>
              <w:t>0.15</w:t>
            </w:r>
          </w:p>
        </w:tc>
        <w:tc>
          <w:tcPr>
            <w:tcW w:type="dxa" w:w="2160"/>
          </w:tcPr>
          <w:p>
            <w:r>
              <w:t>0.10</w:t>
            </w:r>
          </w:p>
        </w:tc>
        <w:tc>
          <w:tcPr>
            <w:tcW w:type="dxa" w:w="2160"/>
          </w:tcPr>
          <w:p>
            <w:r>
              <w:t>1.00</w:t>
            </w:r>
          </w:p>
        </w:tc>
      </w:tr>
    </w:tbl>
    <w:p/>
    <w:p>
      <w:pPr>
        <w:pStyle w:val="Heading2"/>
      </w:pPr>
      <w:r>
        <w:t>B.1 Equal weight vs. optimized weight</w:t>
      </w:r>
    </w:p>
    <w:p>
      <w:r>
        <w:t>Equal weight (33/33/33): portfolio vol often falls below the average sleeve vol because T and M offset each other. A mean-variance optimizer fit on the same history might push 80% into the sleeve with the highest estimated return—raising in-sample Sharpe but often hurting the next year when correlations shift.</w:t>
      </w:r>
    </w:p>
    <w:p>
      <w:pPr>
        <w:pStyle w:val="Heading2"/>
      </w:pPr>
      <w:r>
        <w:t>B.2 Stress overlay</w:t>
      </w:r>
    </w:p>
    <w:p>
      <w:r>
        <w:t>Suppose in a crisis month, ρ_TM rises from −0.25 to +0.55 and all sleeves lose together. Lesson: monitor rolling stress correlation, not only full-sample averages. A portfolio that looks diversified in calm data can be one bet in a crash.</w:t>
      </w:r>
    </w:p>
    <w:p>
      <w:r>
        <w:br w:type="page"/>
      </w:r>
    </w:p>
    <w:p>
      <w:pPr>
        <w:pStyle w:val="Heading1"/>
      </w:pPr>
      <w:r>
        <w:t>Appendix C: 90-Minute Lecture Agenda</w:t>
      </w:r>
    </w:p>
    <w:tbl>
      <w:tblPr>
        <w:tblStyle w:val="TableGrid"/>
        <w:tblW w:type="auto" w:w="0"/>
        <w:tblLook w:firstColumn="1" w:firstRow="1" w:lastColumn="0" w:lastRow="0" w:noHBand="0" w:noVBand="1" w:val="04A0"/>
      </w:tblPr>
      <w:tblGrid>
        <w:gridCol w:w="4320"/>
        <w:gridCol w:w="4320"/>
      </w:tblGrid>
      <w:tr>
        <w:tc>
          <w:tcPr>
            <w:tcW w:type="dxa" w:w="4320"/>
          </w:tcPr>
          <w:p>
            <w:r>
              <w:t>Time</w:t>
            </w:r>
          </w:p>
        </w:tc>
        <w:tc>
          <w:tcPr>
            <w:tcW w:type="dxa" w:w="4320"/>
          </w:tcPr>
          <w:p>
            <w:r>
              <w:t>Segment</w:t>
            </w:r>
          </w:p>
        </w:tc>
      </w:tr>
      <w:tr>
        <w:tc>
          <w:tcPr>
            <w:tcW w:type="dxa" w:w="4320"/>
          </w:tcPr>
          <w:p>
            <w:r>
              <w:t>0:00–0:10</w:t>
            </w:r>
          </w:p>
        </w:tc>
        <w:tc>
          <w:tcPr>
            <w:tcW w:type="dxa" w:w="4320"/>
          </w:tcPr>
          <w:p>
            <w:r>
              <w:t>Hook: best backtest vs. first live month; define Modelur trap</w:t>
            </w:r>
          </w:p>
        </w:tc>
      </w:tr>
      <w:tr>
        <w:tc>
          <w:tcPr>
            <w:tcW w:type="dxa" w:w="4320"/>
          </w:tcPr>
          <w:p>
            <w:r>
              <w:t>0:10–0:25</w:t>
            </w:r>
          </w:p>
        </w:tc>
        <w:tc>
          <w:tcPr>
            <w:tcW w:type="dxa" w:w="4320"/>
          </w:tcPr>
          <w:p>
            <w:r>
              <w:t>MPT refresher: idiosyncratic vs. systematic; efficient frontier</w:t>
            </w:r>
          </w:p>
        </w:tc>
      </w:tr>
      <w:tr>
        <w:tc>
          <w:tcPr>
            <w:tcW w:type="dxa" w:w="4320"/>
          </w:tcPr>
          <w:p>
            <w:r>
              <w:t>0:25–0:40</w:t>
            </w:r>
          </w:p>
        </w:tc>
        <w:tc>
          <w:tcPr>
            <w:tcW w:type="dxa" w:w="4320"/>
          </w:tcPr>
          <w:p>
            <w:r>
              <w:t>Rule of 30 &amp; illusion of diversification; finite breadth limits</w:t>
            </w:r>
          </w:p>
        </w:tc>
      </w:tr>
      <w:tr>
        <w:tc>
          <w:tcPr>
            <w:tcW w:type="dxa" w:w="4320"/>
          </w:tcPr>
          <w:p>
            <w:r>
              <w:t>0:40–0:55</w:t>
            </w:r>
          </w:p>
        </w:tc>
        <w:tc>
          <w:tcPr>
            <w:tcW w:type="dxa" w:w="4320"/>
          </w:tcPr>
          <w:p>
            <w:r>
              <w:t>Sharpe optimization pitfalls; estimation error &amp; multiple testing</w:t>
            </w:r>
          </w:p>
        </w:tc>
      </w:tr>
      <w:tr>
        <w:tc>
          <w:tcPr>
            <w:tcW w:type="dxa" w:w="4320"/>
          </w:tcPr>
          <w:p>
            <w:r>
              <w:t>0:55–1:10</w:t>
            </w:r>
          </w:p>
        </w:tc>
        <w:tc>
          <w:tcPr>
            <w:tcW w:type="dxa" w:w="4320"/>
          </w:tcPr>
          <w:p>
            <w:r>
              <w:t>Factor view + cross-strategy correlation; stress co-drawdowns</w:t>
            </w:r>
          </w:p>
        </w:tc>
      </w:tr>
      <w:tr>
        <w:tc>
          <w:tcPr>
            <w:tcW w:type="dxa" w:w="4320"/>
          </w:tcPr>
          <w:p>
            <w:r>
              <w:t>1:10–1:20</w:t>
            </w:r>
          </w:p>
        </w:tc>
        <w:tc>
          <w:tcPr>
            <w:tcW w:type="dxa" w:w="4320"/>
          </w:tcPr>
          <w:p>
            <w:r>
              <w:t>HRP and robust heuristics; risk budgeting</w:t>
            </w:r>
          </w:p>
        </w:tc>
      </w:tr>
      <w:tr>
        <w:tc>
          <w:tcPr>
            <w:tcW w:type="dxa" w:w="4320"/>
          </w:tcPr>
          <w:p>
            <w:r>
              <w:t>1:20–1:30</w:t>
            </w:r>
          </w:p>
        </w:tc>
        <w:tc>
          <w:tcPr>
            <w:tcW w:type="dxa" w:w="4320"/>
          </w:tcPr>
          <w:p>
            <w:r>
              <w:t>Q&amp;A; homework: factor map + one add/cut decision</w:t>
            </w:r>
          </w:p>
        </w:tc>
      </w:tr>
    </w:tbl>
    <w:p>
      <w:r>
        <w:br w:type="page"/>
      </w:r>
    </w:p>
    <w:p>
      <w:pPr>
        <w:pStyle w:val="Heading1"/>
      </w:pPr>
      <w:r>
        <w:t>Appendix D: Discussion Questions &amp; Exercises</w:t>
      </w:r>
    </w:p>
    <w:p>
      <w:pPr>
        <w:pStyle w:val="Heading2"/>
      </w:pPr>
      <w:r>
        <w:t>Discussion questions</w:t>
      </w:r>
    </w:p>
    <w:p>
      <w:pPr>
        <w:pStyle w:val="ListNumber"/>
      </w:pPr>
      <w:r>
        <w:t>When is a higher in-sample Sharpe evidence of skill vs. evidence of overfitting?</w:t>
      </w:r>
    </w:p>
    <w:p>
      <w:pPr>
        <w:pStyle w:val="ListNumber"/>
      </w:pPr>
      <w:r>
        <w:t>Why can two strategies with negative average correlation still blow up together?</w:t>
      </w:r>
    </w:p>
    <w:p>
      <w:pPr>
        <w:pStyle w:val="ListNumber"/>
      </w:pPr>
      <w:r>
        <w:t>What would convince you to remove a sleeve from the portfolio—metrics, not ego?</w:t>
      </w:r>
    </w:p>
    <w:p>
      <w:pPr>
        <w:pStyle w:val="ListNumber"/>
      </w:pPr>
      <w:r>
        <w:t>How does HRP differ from classic risk parity in how it treats correlation clusters?</w:t>
      </w:r>
    </w:p>
    <w:p>
      <w:pPr>
        <w:pStyle w:val="Heading2"/>
      </w:pPr>
      <w:r>
        <w:t>Take-home exercise</w:t>
      </w:r>
    </w:p>
    <w:p>
      <w:r>
        <w:t>1. List every strategy or signal you run. 2. Assign each a primary driver (momentum, value, carry, vol, liquidity, macro, etc.). 3. Estimate pairwise correlation of weekly returns (or use your backtest logs). 4. Identify the most redundant pair. 5. Propose one new sleeve that would lower average pairwise correlation without doubling complexity.</w:t>
      </w:r>
    </w:p>
    <w:p>
      <w:r>
        <w:br w:type="page"/>
      </w:r>
    </w:p>
    <w:p>
      <w:pPr>
        <w:pStyle w:val="Heading1"/>
      </w:pPr>
      <w:r>
        <w:t>References and Further Reading</w:t>
      </w:r>
    </w:p>
    <w:p>
      <w:pPr>
        <w:pStyle w:val="ListBullet"/>
      </w:pPr>
      <w:r>
        <w:t>Investopedia — “The Diversification Myth: Why 30 Stocks Aren’t Enough for Your Portfolio” (illusion of diversification): https://www.investopedia.com/articles/stocks/11/illusion-of-diversification.asp</w:t>
      </w:r>
    </w:p>
    <w:p>
      <w:pPr>
        <w:pStyle w:val="ListBullet"/>
      </w:pPr>
      <w:r>
        <w:t>Corporate Finance Institute — Modern Portfolio Theory (MPT) overview: https://corporatefinanceinstitute.com/resources/wealth-management/modern-portfolio-theory-mpt/</w:t>
      </w:r>
    </w:p>
    <w:p>
      <w:pPr>
        <w:pStyle w:val="ListBullet"/>
      </w:pPr>
      <w:r>
        <w:t>Wikipedia — Hierarchical Risk Parity (López de Prado, 2016): https://en.wikipedia.org/wiki/Hierarchical_Risk_Parity</w:t>
      </w:r>
    </w:p>
    <w:p>
      <w:pPr>
        <w:pStyle w:val="ListBullet"/>
      </w:pPr>
      <w:r>
        <w:t>López de Prado, M. — “Building Diversified Portfolios that Outperform Out of Sample” (HRP).</w:t>
      </w:r>
    </w:p>
    <w:p>
      <w:pPr>
        <w:pStyle w:val="ListBullet"/>
      </w:pPr>
      <w:r>
        <w:t>De Miguel, V., Garlappi, L., &amp; Uppal, R. (2009) — “Optimal Versus Naive Diversification.”</w:t>
      </w:r>
    </w:p>
    <w:p>
      <w:pPr>
        <w:pStyle w:val="ListBullet"/>
      </w:pPr>
      <w:r>
        <w:t>Michaud, R. (1989) — “The Markowitz Optimization Enigma: Is ‘Optimized’ Optimal?”</w:t>
      </w:r>
    </w:p>
    <w:p>
      <w:pPr>
        <w:pStyle w:val="ListBullet"/>
      </w:pPr>
      <w:r>
        <w:t>Bailey, D. &amp; López de Prado, M. (2014) — Backtest overfitting, Deflated Sharpe, PBO.</w:t>
      </w:r>
    </w:p>
    <w:p>
      <w:pPr>
        <w:pStyle w:val="ListBullet"/>
      </w:pPr>
      <w:r>
        <w:t>Kolm, P. et al. (2022) — Effects of errors in means, variances, and correlations on MV framework.</w:t>
      </w:r>
    </w:p>
    <w:p>
      <w:pPr>
        <w:pStyle w:val="ListBullet"/>
      </w:pPr>
      <w:r>
        <w:t>Hentschel, L. (2025) — “The Limits of Diversification” (finite Sharpe ceilings with correlated signals).</w:t>
      </w:r>
    </w:p>
    <w:p>
      <w:pPr>
        <w:pStyle w:val="ListBullet"/>
      </w:pPr>
      <w:r>
        <w:t>Fidelity — Guide to diversification (rebalancing and monitoring): https://www.fidelity.com/viewpoints/investing-ideas/guide-to-diversification</w:t>
      </w:r>
    </w:p>
    <w:p>
      <w:pPr>
        <w:pStyle w:val="ListBullet"/>
      </w:pPr>
      <w:r>
        <w:t>Markowitz, H. (1952) — Portfolio selection (foundational MPT).</w:t>
      </w:r>
    </w:p>
    <w:p>
      <w:pPr>
        <w:pStyle w:val="Heading1"/>
      </w:pPr>
      <w:r>
        <w:t>Speaker Notes (Expanded)</w:t>
      </w:r>
    </w:p>
    <w:p>
      <w:r>
        <w:rPr>
          <w:b/>
        </w:rPr>
        <w:t xml:space="preserve">Opening: </w:t>
      </w:r>
      <w:r>
        <w:t>Personal story: pristine backtest, rough first live month. Frame lecture as escaping single-curve obsession.</w:t>
      </w:r>
    </w:p>
    <w:p>
      <w:r>
        <w:rPr>
          <w:b/>
        </w:rPr>
        <w:t xml:space="preserve">Modelur trap: </w:t>
      </w:r>
      <w:r>
        <w:t>Whiteboard: parameters ↑ → degrees of freedom ↑ → selection bias ↑. Mention Deflated Sharpe if audience is quant-heavy.</w:t>
      </w:r>
    </w:p>
    <w:p>
      <w:r>
        <w:rPr>
          <w:b/>
        </w:rPr>
        <w:t xml:space="preserve">Rule of 30: </w:t>
      </w:r>
      <w:r>
        <w:t>Contrast textbook 30-stock result with Investopedia ‘illusion’—sectors, geographies, styles matter.</w:t>
      </w:r>
    </w:p>
    <w:p>
      <w:r>
        <w:rPr>
          <w:b/>
        </w:rPr>
        <w:t xml:space="preserve">Sharpe: </w:t>
      </w:r>
      <w:r>
        <w:t>Show Michaud quote; emphasize correlation error dominance (Kolm et al.). Demo: equal weight beats optimized OOS.</w:t>
      </w:r>
    </w:p>
    <w:p>
      <w:r>
        <w:rPr>
          <w:b/>
        </w:rPr>
        <w:t xml:space="preserve">Factors: </w:t>
      </w:r>
      <w:r>
        <w:t>Align P&amp;L on one calendar; show stress-month correlation spike (Appendix B).</w:t>
      </w:r>
    </w:p>
    <w:p>
      <w:r>
        <w:rPr>
          <w:b/>
        </w:rPr>
        <w:t xml:space="preserve">HRP: </w:t>
      </w:r>
      <w:r>
        <w:t>Intuition only unless PhD crowd: clustering → bisection avoids matrix inversion blow-ups.</w:t>
      </w:r>
    </w:p>
    <w:p>
      <w:r>
        <w:rPr>
          <w:b/>
        </w:rPr>
        <w:t xml:space="preserve">Close: </w:t>
      </w:r>
      <w:r>
        <w:t>Assign Appendix D homework due next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