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6F651" w14:textId="77777777" w:rsidR="00394A49" w:rsidRDefault="0028275D">
      <w:r>
        <w:br/>
      </w:r>
    </w:p>
    <w:p w14:paraId="204E06B2" w14:textId="3A129C05" w:rsidR="00DF79EA" w:rsidRDefault="0028275D">
      <w:r>
        <w:br/>
      </w:r>
    </w:p>
    <w:p w14:paraId="6C639D93" w14:textId="0EBED6D5" w:rsidR="00DF79EA" w:rsidRDefault="00DF79EA">
      <w:pPr>
        <w:jc w:val="center"/>
      </w:pPr>
    </w:p>
    <w:p w14:paraId="44A0F21C" w14:textId="38EDCCEE" w:rsidR="00DF79EA" w:rsidRPr="00F32EE9" w:rsidRDefault="0052294D">
      <w:r w:rsidRPr="00F32EE9">
        <w:rPr>
          <w:rFonts w:ascii="Aptos Narrow" w:hAnsi="Aptos Narrow"/>
          <w:noProof/>
          <w:sz w:val="67"/>
        </w:rPr>
        <w:drawing>
          <wp:anchor distT="0" distB="0" distL="114300" distR="114300" simplePos="0" relativeHeight="251658241" behindDoc="1" locked="0" layoutInCell="1" allowOverlap="1" wp14:anchorId="689D3DCD" wp14:editId="39284C7A">
            <wp:simplePos x="0" y="0"/>
            <wp:positionH relativeFrom="column">
              <wp:posOffset>2190750</wp:posOffset>
            </wp:positionH>
            <wp:positionV relativeFrom="paragraph">
              <wp:posOffset>10795</wp:posOffset>
            </wp:positionV>
            <wp:extent cx="2468245" cy="1377315"/>
            <wp:effectExtent l="0" t="0" r="8255" b="0"/>
            <wp:wrapTight wrapText="bothSides">
              <wp:wrapPolygon edited="0">
                <wp:start x="0" y="0"/>
                <wp:lineTo x="0" y="21212"/>
                <wp:lineTo x="21506" y="21212"/>
                <wp:lineTo x="21506" y="0"/>
                <wp:lineTo x="0" y="0"/>
              </wp:wrapPolygon>
            </wp:wrapTight>
            <wp:docPr id="38914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44945" name="Picture 1"/>
                    <pic:cNvPicPr/>
                  </pic:nvPicPr>
                  <pic:blipFill>
                    <a:blip r:embed="rId8"/>
                    <a:srcRect t="3499" b="3499"/>
                    <a:stretch>
                      <a:fillRect/>
                    </a:stretch>
                  </pic:blipFill>
                  <pic:spPr bwMode="auto">
                    <a:xfrm>
                      <a:off x="0" y="0"/>
                      <a:ext cx="2468245" cy="1377315"/>
                    </a:xfrm>
                    <a:prstGeom prst="rect">
                      <a:avLst/>
                    </a:prstGeom>
                    <a:ln>
                      <a:noFill/>
                    </a:ln>
                    <a:extLst>
                      <a:ext uri="{53640926-AAD7-44D8-BBD7-CCE9431645EC}">
                        <a14:shadowObscured xmlns:a14="http://schemas.microsoft.com/office/drawing/2010/main"/>
                      </a:ext>
                    </a:extLst>
                  </pic:spPr>
                </pic:pic>
              </a:graphicData>
            </a:graphic>
          </wp:anchor>
        </w:drawing>
      </w:r>
      <w:r w:rsidRPr="00F32EE9">
        <w:br/>
      </w:r>
      <w:r w:rsidRPr="00F32EE9">
        <w:br/>
      </w:r>
    </w:p>
    <w:p w14:paraId="7C2581F6" w14:textId="77777777" w:rsidR="0052294D" w:rsidRPr="00F32EE9" w:rsidRDefault="0052294D">
      <w:pPr>
        <w:jc w:val="center"/>
      </w:pPr>
    </w:p>
    <w:p w14:paraId="49254296" w14:textId="77777777" w:rsidR="0052294D" w:rsidRPr="00F32EE9" w:rsidRDefault="0052294D">
      <w:pPr>
        <w:jc w:val="center"/>
      </w:pPr>
    </w:p>
    <w:p w14:paraId="623F919C" w14:textId="77777777" w:rsidR="0052294D" w:rsidRPr="00F32EE9" w:rsidRDefault="0052294D">
      <w:pPr>
        <w:jc w:val="center"/>
      </w:pPr>
    </w:p>
    <w:p w14:paraId="1F72DEAD" w14:textId="77777777" w:rsidR="00C07AE5" w:rsidRPr="00F32EE9" w:rsidRDefault="00C07AE5">
      <w:pPr>
        <w:jc w:val="center"/>
        <w:rPr>
          <w:rFonts w:ascii="Aptos Narrow" w:hAnsi="Aptos Narrow"/>
          <w:b/>
          <w:bCs/>
          <w:sz w:val="30"/>
          <w:szCs w:val="30"/>
        </w:rPr>
      </w:pPr>
    </w:p>
    <w:p w14:paraId="6D74F09D" w14:textId="1E4F240B" w:rsidR="00DF79EA" w:rsidRPr="00F32EE9" w:rsidRDefault="005F356C">
      <w:pPr>
        <w:jc w:val="center"/>
        <w:rPr>
          <w:rFonts w:ascii="Aptos Narrow" w:hAnsi="Aptos Narrow"/>
          <w:b/>
          <w:bCs/>
          <w:sz w:val="30"/>
          <w:szCs w:val="30"/>
        </w:rPr>
      </w:pPr>
      <w:r w:rsidRPr="00F32EE9">
        <w:rPr>
          <w:rFonts w:ascii="Aptos Narrow" w:hAnsi="Aptos Narrow"/>
          <w:b/>
          <w:bCs/>
          <w:sz w:val="30"/>
          <w:szCs w:val="30"/>
        </w:rPr>
        <w:t>Indian</w:t>
      </w:r>
      <w:r w:rsidR="0052294D" w:rsidRPr="00F32EE9">
        <w:rPr>
          <w:rFonts w:ascii="Aptos Narrow" w:hAnsi="Aptos Narrow"/>
          <w:b/>
          <w:bCs/>
          <w:sz w:val="30"/>
          <w:szCs w:val="30"/>
        </w:rPr>
        <w:t xml:space="preserve"> </w:t>
      </w:r>
      <w:r w:rsidRPr="00F32EE9">
        <w:rPr>
          <w:rFonts w:ascii="Aptos Narrow" w:hAnsi="Aptos Narrow"/>
          <w:b/>
          <w:bCs/>
          <w:sz w:val="30"/>
          <w:szCs w:val="30"/>
        </w:rPr>
        <w:t>Railway</w:t>
      </w:r>
      <w:r w:rsidR="0052294D" w:rsidRPr="00F32EE9">
        <w:rPr>
          <w:rFonts w:ascii="Aptos Narrow" w:hAnsi="Aptos Narrow"/>
          <w:b/>
          <w:bCs/>
          <w:sz w:val="30"/>
          <w:szCs w:val="30"/>
        </w:rPr>
        <w:t xml:space="preserve"> Finance </w:t>
      </w:r>
      <w:r w:rsidRPr="00F32EE9">
        <w:rPr>
          <w:rFonts w:ascii="Aptos Narrow" w:hAnsi="Aptos Narrow"/>
          <w:b/>
          <w:bCs/>
          <w:sz w:val="30"/>
          <w:szCs w:val="30"/>
        </w:rPr>
        <w:t>Corporation</w:t>
      </w:r>
      <w:r w:rsidR="0052294D" w:rsidRPr="00F32EE9">
        <w:rPr>
          <w:rFonts w:ascii="Aptos Narrow" w:hAnsi="Aptos Narrow"/>
          <w:b/>
          <w:bCs/>
          <w:sz w:val="30"/>
          <w:szCs w:val="30"/>
        </w:rPr>
        <w:t xml:space="preserve"> </w:t>
      </w:r>
    </w:p>
    <w:p w14:paraId="2EECA9E3" w14:textId="6F231820" w:rsidR="0052294D" w:rsidRPr="00F32EE9" w:rsidRDefault="00394A49">
      <w:pPr>
        <w:jc w:val="center"/>
        <w:rPr>
          <w:rFonts w:ascii="Aptos Narrow" w:hAnsi="Aptos Narrow"/>
          <w:b/>
          <w:bCs/>
          <w:sz w:val="30"/>
          <w:szCs w:val="30"/>
        </w:rPr>
      </w:pPr>
      <w:r w:rsidRPr="00F32EE9">
        <w:rPr>
          <w:rFonts w:ascii="Aptos Narrow" w:hAnsi="Aptos Narrow"/>
          <w:b/>
          <w:bCs/>
          <w:sz w:val="30"/>
          <w:szCs w:val="30"/>
        </w:rPr>
        <w:t xml:space="preserve"> </w:t>
      </w:r>
      <w:r w:rsidR="00955ABC" w:rsidRPr="00F32EE9">
        <w:rPr>
          <w:rFonts w:ascii="Aptos Narrow" w:hAnsi="Aptos Narrow"/>
          <w:b/>
          <w:bCs/>
          <w:sz w:val="30"/>
          <w:szCs w:val="30"/>
        </w:rPr>
        <w:t>E</w:t>
      </w:r>
      <w:r w:rsidR="00D4500E" w:rsidRPr="00F32EE9">
        <w:rPr>
          <w:rFonts w:ascii="Aptos Narrow" w:hAnsi="Aptos Narrow"/>
          <w:b/>
          <w:bCs/>
          <w:sz w:val="30"/>
          <w:szCs w:val="30"/>
        </w:rPr>
        <w:t>xpected Credit Loss</w:t>
      </w:r>
      <w:r w:rsidR="00F32EE9">
        <w:rPr>
          <w:rFonts w:ascii="Aptos Narrow" w:hAnsi="Aptos Narrow"/>
          <w:b/>
          <w:bCs/>
          <w:sz w:val="30"/>
          <w:szCs w:val="30"/>
        </w:rPr>
        <w:t xml:space="preserve"> (ECL)</w:t>
      </w:r>
      <w:r w:rsidR="00955ABC" w:rsidRPr="00F32EE9">
        <w:rPr>
          <w:rFonts w:ascii="Aptos Narrow" w:hAnsi="Aptos Narrow"/>
          <w:b/>
          <w:bCs/>
          <w:sz w:val="30"/>
          <w:szCs w:val="30"/>
        </w:rPr>
        <w:t xml:space="preserve"> </w:t>
      </w:r>
      <w:r w:rsidRPr="00F32EE9">
        <w:rPr>
          <w:rFonts w:ascii="Aptos Narrow" w:hAnsi="Aptos Narrow"/>
          <w:b/>
          <w:bCs/>
          <w:sz w:val="30"/>
          <w:szCs w:val="30"/>
        </w:rPr>
        <w:t xml:space="preserve">Provisioning Policy </w:t>
      </w:r>
    </w:p>
    <w:p w14:paraId="743FE32C" w14:textId="6C46BE58" w:rsidR="00DF79EA" w:rsidRPr="00F32EE9" w:rsidRDefault="00D4500E" w:rsidP="00E06955">
      <w:pPr>
        <w:jc w:val="center"/>
        <w:rPr>
          <w:rFonts w:ascii="Aptos Narrow" w:hAnsi="Aptos Narrow"/>
          <w:b/>
          <w:bCs/>
          <w:sz w:val="30"/>
          <w:szCs w:val="30"/>
        </w:rPr>
      </w:pPr>
      <w:r w:rsidRPr="00F32EE9">
        <w:rPr>
          <w:rFonts w:ascii="Aptos Narrow" w:hAnsi="Aptos Narrow"/>
          <w:b/>
          <w:bCs/>
          <w:sz w:val="30"/>
          <w:szCs w:val="30"/>
        </w:rPr>
        <w:t xml:space="preserve">May </w:t>
      </w:r>
      <w:r w:rsidR="00394A49" w:rsidRPr="00F32EE9">
        <w:rPr>
          <w:rFonts w:ascii="Aptos Narrow" w:hAnsi="Aptos Narrow"/>
          <w:b/>
          <w:bCs/>
          <w:sz w:val="30"/>
          <w:szCs w:val="30"/>
        </w:rPr>
        <w:t>202</w:t>
      </w:r>
      <w:r w:rsidR="005F356C" w:rsidRPr="00F32EE9">
        <w:rPr>
          <w:rFonts w:ascii="Aptos Narrow" w:hAnsi="Aptos Narrow"/>
          <w:b/>
          <w:bCs/>
          <w:sz w:val="30"/>
          <w:szCs w:val="30"/>
        </w:rPr>
        <w:t>6</w:t>
      </w:r>
    </w:p>
    <w:p w14:paraId="0163FD67" w14:textId="77777777" w:rsidR="00E06955" w:rsidRPr="00F32EE9" w:rsidRDefault="00E06955" w:rsidP="00E06955">
      <w:pPr>
        <w:jc w:val="center"/>
        <w:rPr>
          <w:rFonts w:ascii="Aptos Narrow" w:hAnsi="Aptos Narrow"/>
          <w:b/>
          <w:bCs/>
          <w:sz w:val="30"/>
          <w:szCs w:val="30"/>
        </w:rPr>
      </w:pPr>
    </w:p>
    <w:p w14:paraId="4D5C6643" w14:textId="77777777" w:rsidR="00E06955" w:rsidRPr="00F32EE9" w:rsidRDefault="00E06955" w:rsidP="00E06955">
      <w:pPr>
        <w:jc w:val="center"/>
        <w:rPr>
          <w:rFonts w:ascii="Aptos Narrow" w:hAnsi="Aptos Narrow"/>
          <w:b/>
          <w:bCs/>
          <w:sz w:val="30"/>
          <w:szCs w:val="30"/>
        </w:rPr>
      </w:pPr>
    </w:p>
    <w:p w14:paraId="66C06443" w14:textId="77777777" w:rsidR="00E06955" w:rsidRPr="00F32EE9" w:rsidRDefault="00E06955" w:rsidP="00E06955">
      <w:pPr>
        <w:jc w:val="center"/>
        <w:rPr>
          <w:rFonts w:ascii="Aptos Narrow" w:hAnsi="Aptos Narrow"/>
          <w:b/>
          <w:bCs/>
          <w:sz w:val="30"/>
          <w:szCs w:val="30"/>
        </w:rPr>
      </w:pPr>
    </w:p>
    <w:p w14:paraId="2C55806B" w14:textId="77777777" w:rsidR="00E06955" w:rsidRPr="00F32EE9" w:rsidRDefault="00E06955" w:rsidP="00E06955">
      <w:pPr>
        <w:jc w:val="center"/>
        <w:rPr>
          <w:rFonts w:ascii="Aptos Narrow" w:hAnsi="Aptos Narrow"/>
          <w:b/>
          <w:bCs/>
          <w:sz w:val="30"/>
          <w:szCs w:val="30"/>
        </w:rPr>
      </w:pPr>
    </w:p>
    <w:p w14:paraId="2952DA24" w14:textId="77777777" w:rsidR="00E06955" w:rsidRPr="00F32EE9" w:rsidRDefault="00E06955" w:rsidP="00E06955">
      <w:pPr>
        <w:jc w:val="center"/>
        <w:rPr>
          <w:rFonts w:ascii="Aptos Narrow" w:hAnsi="Aptos Narrow"/>
          <w:b/>
          <w:bCs/>
          <w:sz w:val="30"/>
          <w:szCs w:val="30"/>
        </w:rPr>
      </w:pPr>
    </w:p>
    <w:p w14:paraId="662999E4" w14:textId="77777777" w:rsidR="00E06955" w:rsidRPr="00F32EE9" w:rsidRDefault="00E06955" w:rsidP="00E06955">
      <w:pPr>
        <w:jc w:val="center"/>
        <w:rPr>
          <w:rFonts w:ascii="Aptos Narrow" w:hAnsi="Aptos Narrow"/>
          <w:b/>
          <w:bCs/>
          <w:sz w:val="30"/>
          <w:szCs w:val="30"/>
        </w:rPr>
      </w:pPr>
    </w:p>
    <w:p w14:paraId="0B0374B1" w14:textId="77777777" w:rsidR="00E06955" w:rsidRPr="00F32EE9" w:rsidRDefault="00E06955" w:rsidP="00E06955">
      <w:pPr>
        <w:jc w:val="center"/>
        <w:rPr>
          <w:rFonts w:ascii="Aptos Narrow" w:hAnsi="Aptos Narrow"/>
          <w:b/>
          <w:bCs/>
          <w:sz w:val="30"/>
          <w:szCs w:val="30"/>
        </w:rPr>
      </w:pPr>
    </w:p>
    <w:p w14:paraId="08EFB055" w14:textId="77777777" w:rsidR="00E06955" w:rsidRPr="00F32EE9" w:rsidRDefault="00E06955" w:rsidP="00E06955">
      <w:pPr>
        <w:jc w:val="center"/>
        <w:rPr>
          <w:rFonts w:ascii="Aptos Narrow" w:hAnsi="Aptos Narrow"/>
          <w:b/>
          <w:bCs/>
          <w:sz w:val="30"/>
          <w:szCs w:val="30"/>
        </w:rPr>
      </w:pPr>
    </w:p>
    <w:p w14:paraId="01D76338" w14:textId="77777777" w:rsidR="00E06955" w:rsidRPr="00F32EE9" w:rsidRDefault="00E06955" w:rsidP="00E06955">
      <w:pPr>
        <w:jc w:val="center"/>
        <w:rPr>
          <w:rFonts w:ascii="Aptos Narrow" w:hAnsi="Aptos Narrow"/>
          <w:b/>
          <w:bCs/>
          <w:sz w:val="30"/>
          <w:szCs w:val="30"/>
        </w:rPr>
      </w:pPr>
    </w:p>
    <w:p w14:paraId="6695DE69" w14:textId="77777777" w:rsidR="00E06955" w:rsidRPr="00F32EE9" w:rsidRDefault="00E06955" w:rsidP="00E06955">
      <w:pPr>
        <w:jc w:val="center"/>
        <w:rPr>
          <w:rFonts w:ascii="Aptos Narrow" w:hAnsi="Aptos Narrow"/>
          <w:b/>
          <w:bCs/>
          <w:sz w:val="30"/>
          <w:szCs w:val="30"/>
        </w:rPr>
      </w:pPr>
    </w:p>
    <w:p w14:paraId="06FBD070" w14:textId="77777777" w:rsidR="00E06955" w:rsidRPr="00F32EE9" w:rsidRDefault="00E06955" w:rsidP="00E06955">
      <w:pPr>
        <w:jc w:val="center"/>
        <w:rPr>
          <w:rFonts w:ascii="Aptos Narrow" w:hAnsi="Aptos Narrow"/>
          <w:b/>
          <w:bCs/>
          <w:sz w:val="30"/>
          <w:szCs w:val="30"/>
        </w:rPr>
      </w:pPr>
    </w:p>
    <w:p w14:paraId="66E5368B" w14:textId="77777777" w:rsidR="00E06955" w:rsidRPr="00F32EE9" w:rsidRDefault="00E06955" w:rsidP="00E06955">
      <w:pPr>
        <w:jc w:val="center"/>
        <w:rPr>
          <w:rFonts w:ascii="Aptos Narrow" w:hAnsi="Aptos Narrow"/>
          <w:b/>
          <w:bCs/>
          <w:sz w:val="30"/>
          <w:szCs w:val="30"/>
        </w:rPr>
      </w:pPr>
    </w:p>
    <w:p w14:paraId="466089FD" w14:textId="77777777" w:rsidR="00E06955" w:rsidRPr="00F32EE9" w:rsidRDefault="00E06955" w:rsidP="00E06955">
      <w:pPr>
        <w:jc w:val="center"/>
        <w:rPr>
          <w:rFonts w:ascii="Aptos Narrow" w:hAnsi="Aptos Narrow"/>
          <w:b/>
          <w:bCs/>
          <w:sz w:val="30"/>
          <w:szCs w:val="30"/>
        </w:rPr>
      </w:pPr>
    </w:p>
    <w:sdt>
      <w:sdtPr>
        <w:rPr>
          <w:rFonts w:asciiTheme="minorHAnsi" w:eastAsiaTheme="minorEastAsia" w:hAnsiTheme="minorHAnsi" w:cstheme="minorBidi"/>
          <w:b w:val="0"/>
          <w:bCs w:val="0"/>
          <w:color w:val="auto"/>
          <w:sz w:val="22"/>
          <w:szCs w:val="22"/>
        </w:rPr>
        <w:id w:val="-1078897706"/>
        <w:docPartObj>
          <w:docPartGallery w:val="Table of Contents"/>
          <w:docPartUnique/>
        </w:docPartObj>
      </w:sdtPr>
      <w:sdtContent>
        <w:p w14:paraId="212413A1" w14:textId="5A25CA38" w:rsidR="00CA588C" w:rsidRPr="00F32EE9" w:rsidRDefault="00CA588C">
          <w:pPr>
            <w:pStyle w:val="TOCHeading"/>
            <w:rPr>
              <w:rFonts w:asciiTheme="minorHAnsi" w:eastAsiaTheme="minorEastAsia" w:hAnsiTheme="minorHAnsi" w:cstheme="minorBidi"/>
              <w:b w:val="0"/>
              <w:bCs w:val="0"/>
              <w:color w:val="auto"/>
              <w:sz w:val="22"/>
              <w:szCs w:val="22"/>
            </w:rPr>
          </w:pPr>
          <w:r w:rsidRPr="00F32EE9">
            <w:t>Contents</w:t>
          </w:r>
        </w:p>
        <w:p w14:paraId="50EF0540" w14:textId="7CF39B10" w:rsidR="001E6075" w:rsidRPr="00F32EE9" w:rsidRDefault="00CA588C">
          <w:pPr>
            <w:pStyle w:val="TOC1"/>
            <w:rPr>
              <w:rFonts w:asciiTheme="minorHAnsi" w:hAnsiTheme="minorHAnsi"/>
              <w:noProof/>
              <w:kern w:val="2"/>
              <w:sz w:val="24"/>
              <w:szCs w:val="24"/>
              <w:lang w:val="en-IN" w:eastAsia="en-IN"/>
              <w14:ligatures w14:val="standardContextual"/>
            </w:rPr>
          </w:pPr>
          <w:r w:rsidRPr="00F32EE9">
            <w:fldChar w:fldCharType="begin"/>
          </w:r>
          <w:r w:rsidRPr="00F32EE9">
            <w:instrText xml:space="preserve"> TOC \o "1-3" \h \z \u </w:instrText>
          </w:r>
          <w:r w:rsidRPr="00F32EE9">
            <w:fldChar w:fldCharType="separate"/>
          </w:r>
          <w:hyperlink w:anchor="_Toc229058992" w:history="1">
            <w:r w:rsidR="001E6075" w:rsidRPr="00F32EE9">
              <w:rPr>
                <w:rStyle w:val="Hyperlink"/>
                <w:noProof/>
              </w:rPr>
              <w:t>1.</w:t>
            </w:r>
            <w:r w:rsidR="001E6075" w:rsidRPr="00F32EE9">
              <w:rPr>
                <w:rFonts w:asciiTheme="minorHAnsi" w:hAnsiTheme="minorHAnsi"/>
                <w:noProof/>
                <w:kern w:val="2"/>
                <w:sz w:val="24"/>
                <w:szCs w:val="24"/>
                <w:lang w:val="en-IN" w:eastAsia="en-IN"/>
                <w14:ligatures w14:val="standardContextual"/>
              </w:rPr>
              <w:tab/>
            </w:r>
            <w:r w:rsidR="001E6075" w:rsidRPr="00F32EE9">
              <w:rPr>
                <w:rStyle w:val="Hyperlink"/>
                <w:noProof/>
              </w:rPr>
              <w:t>Introduction</w:t>
            </w:r>
            <w:r w:rsidR="001E6075" w:rsidRPr="00F32EE9">
              <w:rPr>
                <w:noProof/>
                <w:webHidden/>
              </w:rPr>
              <w:tab/>
            </w:r>
            <w:r w:rsidR="001E6075" w:rsidRPr="00F32EE9">
              <w:rPr>
                <w:noProof/>
                <w:webHidden/>
              </w:rPr>
              <w:fldChar w:fldCharType="begin"/>
            </w:r>
            <w:r w:rsidR="001E6075" w:rsidRPr="00F32EE9">
              <w:rPr>
                <w:noProof/>
                <w:webHidden/>
              </w:rPr>
              <w:instrText xml:space="preserve"> PAGEREF _Toc229058992 \h </w:instrText>
            </w:r>
            <w:r w:rsidR="001E6075" w:rsidRPr="00F32EE9">
              <w:rPr>
                <w:noProof/>
                <w:webHidden/>
              </w:rPr>
            </w:r>
            <w:r w:rsidR="001E6075" w:rsidRPr="00F32EE9">
              <w:rPr>
                <w:noProof/>
                <w:webHidden/>
              </w:rPr>
              <w:fldChar w:fldCharType="separate"/>
            </w:r>
            <w:r w:rsidR="001E6075" w:rsidRPr="00F32EE9">
              <w:rPr>
                <w:noProof/>
                <w:webHidden/>
              </w:rPr>
              <w:t>3</w:t>
            </w:r>
            <w:r w:rsidR="001E6075" w:rsidRPr="00F32EE9">
              <w:rPr>
                <w:noProof/>
                <w:webHidden/>
              </w:rPr>
              <w:fldChar w:fldCharType="end"/>
            </w:r>
          </w:hyperlink>
        </w:p>
        <w:p w14:paraId="7CA958CA" w14:textId="52FBA682"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8993" w:history="1">
            <w:r w:rsidRPr="00F32EE9">
              <w:rPr>
                <w:rStyle w:val="Hyperlink"/>
                <w:noProof/>
              </w:rPr>
              <w:t>1.1</w:t>
            </w:r>
            <w:r w:rsidRPr="00F32EE9">
              <w:rPr>
                <w:rFonts w:asciiTheme="minorHAnsi" w:hAnsiTheme="minorHAnsi"/>
                <w:noProof/>
                <w:kern w:val="2"/>
                <w:sz w:val="24"/>
                <w:szCs w:val="24"/>
                <w:lang w:val="en-IN" w:eastAsia="en-IN"/>
                <w14:ligatures w14:val="standardContextual"/>
              </w:rPr>
              <w:tab/>
            </w:r>
            <w:r w:rsidRPr="00F32EE9">
              <w:rPr>
                <w:rStyle w:val="Hyperlink"/>
                <w:noProof/>
              </w:rPr>
              <w:t>Background</w:t>
            </w:r>
            <w:r w:rsidRPr="00F32EE9">
              <w:rPr>
                <w:noProof/>
                <w:webHidden/>
              </w:rPr>
              <w:tab/>
            </w:r>
            <w:r w:rsidRPr="00F32EE9">
              <w:rPr>
                <w:noProof/>
                <w:webHidden/>
              </w:rPr>
              <w:fldChar w:fldCharType="begin"/>
            </w:r>
            <w:r w:rsidRPr="00F32EE9">
              <w:rPr>
                <w:noProof/>
                <w:webHidden/>
              </w:rPr>
              <w:instrText xml:space="preserve"> PAGEREF _Toc229058993 \h </w:instrText>
            </w:r>
            <w:r w:rsidRPr="00F32EE9">
              <w:rPr>
                <w:noProof/>
                <w:webHidden/>
              </w:rPr>
            </w:r>
            <w:r w:rsidRPr="00F32EE9">
              <w:rPr>
                <w:noProof/>
                <w:webHidden/>
              </w:rPr>
              <w:fldChar w:fldCharType="separate"/>
            </w:r>
            <w:r w:rsidRPr="00F32EE9">
              <w:rPr>
                <w:noProof/>
                <w:webHidden/>
              </w:rPr>
              <w:t>3</w:t>
            </w:r>
            <w:r w:rsidRPr="00F32EE9">
              <w:rPr>
                <w:noProof/>
                <w:webHidden/>
              </w:rPr>
              <w:fldChar w:fldCharType="end"/>
            </w:r>
          </w:hyperlink>
        </w:p>
        <w:p w14:paraId="07C036D8" w14:textId="101C177E"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8994" w:history="1">
            <w:r w:rsidRPr="00F32EE9">
              <w:rPr>
                <w:rStyle w:val="Hyperlink"/>
                <w:noProof/>
              </w:rPr>
              <w:t>1.2</w:t>
            </w:r>
            <w:r w:rsidRPr="00F32EE9">
              <w:rPr>
                <w:rFonts w:asciiTheme="minorHAnsi" w:hAnsiTheme="minorHAnsi"/>
                <w:noProof/>
                <w:kern w:val="2"/>
                <w:sz w:val="24"/>
                <w:szCs w:val="24"/>
                <w:lang w:val="en-IN" w:eastAsia="en-IN"/>
                <w14:ligatures w14:val="standardContextual"/>
              </w:rPr>
              <w:tab/>
            </w:r>
            <w:r w:rsidRPr="00F32EE9">
              <w:rPr>
                <w:rStyle w:val="Hyperlink"/>
                <w:noProof/>
              </w:rPr>
              <w:t>Objective</w:t>
            </w:r>
            <w:r w:rsidRPr="00F32EE9">
              <w:rPr>
                <w:noProof/>
                <w:webHidden/>
              </w:rPr>
              <w:tab/>
            </w:r>
            <w:r w:rsidRPr="00F32EE9">
              <w:rPr>
                <w:noProof/>
                <w:webHidden/>
              </w:rPr>
              <w:fldChar w:fldCharType="begin"/>
            </w:r>
            <w:r w:rsidRPr="00F32EE9">
              <w:rPr>
                <w:noProof/>
                <w:webHidden/>
              </w:rPr>
              <w:instrText xml:space="preserve"> PAGEREF _Toc229058994 \h </w:instrText>
            </w:r>
            <w:r w:rsidRPr="00F32EE9">
              <w:rPr>
                <w:noProof/>
                <w:webHidden/>
              </w:rPr>
            </w:r>
            <w:r w:rsidRPr="00F32EE9">
              <w:rPr>
                <w:noProof/>
                <w:webHidden/>
              </w:rPr>
              <w:fldChar w:fldCharType="separate"/>
            </w:r>
            <w:r w:rsidRPr="00F32EE9">
              <w:rPr>
                <w:noProof/>
                <w:webHidden/>
              </w:rPr>
              <w:t>3</w:t>
            </w:r>
            <w:r w:rsidRPr="00F32EE9">
              <w:rPr>
                <w:noProof/>
                <w:webHidden/>
              </w:rPr>
              <w:fldChar w:fldCharType="end"/>
            </w:r>
          </w:hyperlink>
        </w:p>
        <w:p w14:paraId="7404C0E0" w14:textId="352ED0F6"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8995" w:history="1">
            <w:r w:rsidRPr="00F32EE9">
              <w:rPr>
                <w:rStyle w:val="Hyperlink"/>
                <w:noProof/>
              </w:rPr>
              <w:t>1.3</w:t>
            </w:r>
            <w:r w:rsidRPr="00F32EE9">
              <w:rPr>
                <w:rFonts w:asciiTheme="minorHAnsi" w:hAnsiTheme="minorHAnsi"/>
                <w:noProof/>
                <w:kern w:val="2"/>
                <w:sz w:val="24"/>
                <w:szCs w:val="24"/>
                <w:lang w:val="en-IN" w:eastAsia="en-IN"/>
                <w14:ligatures w14:val="standardContextual"/>
              </w:rPr>
              <w:tab/>
            </w:r>
            <w:r w:rsidRPr="00F32EE9">
              <w:rPr>
                <w:rStyle w:val="Hyperlink"/>
                <w:noProof/>
              </w:rPr>
              <w:t>Periodicity</w:t>
            </w:r>
            <w:r w:rsidRPr="00F32EE9">
              <w:rPr>
                <w:noProof/>
                <w:webHidden/>
              </w:rPr>
              <w:tab/>
            </w:r>
            <w:r w:rsidRPr="00F32EE9">
              <w:rPr>
                <w:noProof/>
                <w:webHidden/>
              </w:rPr>
              <w:fldChar w:fldCharType="begin"/>
            </w:r>
            <w:r w:rsidRPr="00F32EE9">
              <w:rPr>
                <w:noProof/>
                <w:webHidden/>
              </w:rPr>
              <w:instrText xml:space="preserve"> PAGEREF _Toc229058995 \h </w:instrText>
            </w:r>
            <w:r w:rsidRPr="00F32EE9">
              <w:rPr>
                <w:noProof/>
                <w:webHidden/>
              </w:rPr>
            </w:r>
            <w:r w:rsidRPr="00F32EE9">
              <w:rPr>
                <w:noProof/>
                <w:webHidden/>
              </w:rPr>
              <w:fldChar w:fldCharType="separate"/>
            </w:r>
            <w:r w:rsidRPr="00F32EE9">
              <w:rPr>
                <w:noProof/>
                <w:webHidden/>
              </w:rPr>
              <w:t>3</w:t>
            </w:r>
            <w:r w:rsidRPr="00F32EE9">
              <w:rPr>
                <w:noProof/>
                <w:webHidden/>
              </w:rPr>
              <w:fldChar w:fldCharType="end"/>
            </w:r>
          </w:hyperlink>
        </w:p>
        <w:p w14:paraId="75684B5B" w14:textId="5D71BB81"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8996" w:history="1">
            <w:r w:rsidRPr="00F32EE9">
              <w:rPr>
                <w:rStyle w:val="Hyperlink"/>
                <w:noProof/>
              </w:rPr>
              <w:t>1.4</w:t>
            </w:r>
            <w:r w:rsidRPr="00F32EE9">
              <w:rPr>
                <w:rFonts w:asciiTheme="minorHAnsi" w:hAnsiTheme="minorHAnsi"/>
                <w:noProof/>
                <w:kern w:val="2"/>
                <w:sz w:val="24"/>
                <w:szCs w:val="24"/>
                <w:lang w:val="en-IN" w:eastAsia="en-IN"/>
                <w14:ligatures w14:val="standardContextual"/>
              </w:rPr>
              <w:tab/>
            </w:r>
            <w:r w:rsidRPr="00F32EE9">
              <w:rPr>
                <w:rStyle w:val="Hyperlink"/>
                <w:noProof/>
              </w:rPr>
              <w:t>Policy Update and Approval</w:t>
            </w:r>
            <w:r w:rsidRPr="00F32EE9">
              <w:rPr>
                <w:noProof/>
                <w:webHidden/>
              </w:rPr>
              <w:tab/>
            </w:r>
            <w:r w:rsidRPr="00F32EE9">
              <w:rPr>
                <w:noProof/>
                <w:webHidden/>
              </w:rPr>
              <w:fldChar w:fldCharType="begin"/>
            </w:r>
            <w:r w:rsidRPr="00F32EE9">
              <w:rPr>
                <w:noProof/>
                <w:webHidden/>
              </w:rPr>
              <w:instrText xml:space="preserve"> PAGEREF _Toc229058996 \h </w:instrText>
            </w:r>
            <w:r w:rsidRPr="00F32EE9">
              <w:rPr>
                <w:noProof/>
                <w:webHidden/>
              </w:rPr>
            </w:r>
            <w:r w:rsidRPr="00F32EE9">
              <w:rPr>
                <w:noProof/>
                <w:webHidden/>
              </w:rPr>
              <w:fldChar w:fldCharType="separate"/>
            </w:r>
            <w:r w:rsidRPr="00F32EE9">
              <w:rPr>
                <w:noProof/>
                <w:webHidden/>
              </w:rPr>
              <w:t>3</w:t>
            </w:r>
            <w:r w:rsidRPr="00F32EE9">
              <w:rPr>
                <w:noProof/>
                <w:webHidden/>
              </w:rPr>
              <w:fldChar w:fldCharType="end"/>
            </w:r>
          </w:hyperlink>
        </w:p>
        <w:p w14:paraId="3D1FD72C" w14:textId="18912259" w:rsidR="001E6075" w:rsidRPr="00F32EE9" w:rsidRDefault="001E6075">
          <w:pPr>
            <w:pStyle w:val="TOC1"/>
            <w:rPr>
              <w:rFonts w:asciiTheme="minorHAnsi" w:hAnsiTheme="minorHAnsi"/>
              <w:noProof/>
              <w:kern w:val="2"/>
              <w:sz w:val="24"/>
              <w:szCs w:val="24"/>
              <w:lang w:val="en-IN" w:eastAsia="en-IN"/>
              <w14:ligatures w14:val="standardContextual"/>
            </w:rPr>
          </w:pPr>
          <w:hyperlink w:anchor="_Toc229058997" w:history="1">
            <w:r w:rsidRPr="00F32EE9">
              <w:rPr>
                <w:rStyle w:val="Hyperlink"/>
                <w:noProof/>
              </w:rPr>
              <w:t>2.</w:t>
            </w:r>
            <w:r w:rsidRPr="00F32EE9">
              <w:rPr>
                <w:rFonts w:asciiTheme="minorHAnsi" w:hAnsiTheme="minorHAnsi"/>
                <w:noProof/>
                <w:kern w:val="2"/>
                <w:sz w:val="24"/>
                <w:szCs w:val="24"/>
                <w:lang w:val="en-IN" w:eastAsia="en-IN"/>
                <w14:ligatures w14:val="standardContextual"/>
              </w:rPr>
              <w:tab/>
            </w:r>
            <w:r w:rsidRPr="00F32EE9">
              <w:rPr>
                <w:rStyle w:val="Hyperlink"/>
                <w:noProof/>
              </w:rPr>
              <w:t>IND AS 109 Overview</w:t>
            </w:r>
            <w:r w:rsidRPr="00F32EE9">
              <w:rPr>
                <w:noProof/>
                <w:webHidden/>
              </w:rPr>
              <w:tab/>
            </w:r>
            <w:r w:rsidRPr="00F32EE9">
              <w:rPr>
                <w:noProof/>
                <w:webHidden/>
              </w:rPr>
              <w:fldChar w:fldCharType="begin"/>
            </w:r>
            <w:r w:rsidRPr="00F32EE9">
              <w:rPr>
                <w:noProof/>
                <w:webHidden/>
              </w:rPr>
              <w:instrText xml:space="preserve"> PAGEREF _Toc229058997 \h </w:instrText>
            </w:r>
            <w:r w:rsidRPr="00F32EE9">
              <w:rPr>
                <w:noProof/>
                <w:webHidden/>
              </w:rPr>
            </w:r>
            <w:r w:rsidRPr="00F32EE9">
              <w:rPr>
                <w:noProof/>
                <w:webHidden/>
              </w:rPr>
              <w:fldChar w:fldCharType="separate"/>
            </w:r>
            <w:r w:rsidRPr="00F32EE9">
              <w:rPr>
                <w:noProof/>
                <w:webHidden/>
              </w:rPr>
              <w:t>4</w:t>
            </w:r>
            <w:r w:rsidRPr="00F32EE9">
              <w:rPr>
                <w:noProof/>
                <w:webHidden/>
              </w:rPr>
              <w:fldChar w:fldCharType="end"/>
            </w:r>
          </w:hyperlink>
        </w:p>
        <w:p w14:paraId="098E893B" w14:textId="20973BC5"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8998" w:history="1">
            <w:r w:rsidRPr="00F32EE9">
              <w:rPr>
                <w:rStyle w:val="Hyperlink"/>
                <w:noProof/>
              </w:rPr>
              <w:t>2.1</w:t>
            </w:r>
            <w:r w:rsidRPr="00F32EE9">
              <w:rPr>
                <w:rFonts w:asciiTheme="minorHAnsi" w:hAnsiTheme="minorHAnsi"/>
                <w:noProof/>
                <w:kern w:val="2"/>
                <w:sz w:val="24"/>
                <w:szCs w:val="24"/>
                <w:lang w:val="en-IN" w:eastAsia="en-IN"/>
                <w14:ligatures w14:val="standardContextual"/>
              </w:rPr>
              <w:tab/>
            </w:r>
            <w:r w:rsidRPr="00F32EE9">
              <w:rPr>
                <w:rStyle w:val="Hyperlink"/>
                <w:noProof/>
              </w:rPr>
              <w:t>ECL Introduction</w:t>
            </w:r>
            <w:r w:rsidRPr="00F32EE9">
              <w:rPr>
                <w:noProof/>
                <w:webHidden/>
              </w:rPr>
              <w:tab/>
            </w:r>
            <w:r w:rsidRPr="00F32EE9">
              <w:rPr>
                <w:noProof/>
                <w:webHidden/>
              </w:rPr>
              <w:fldChar w:fldCharType="begin"/>
            </w:r>
            <w:r w:rsidRPr="00F32EE9">
              <w:rPr>
                <w:noProof/>
                <w:webHidden/>
              </w:rPr>
              <w:instrText xml:space="preserve"> PAGEREF _Toc229058998 \h </w:instrText>
            </w:r>
            <w:r w:rsidRPr="00F32EE9">
              <w:rPr>
                <w:noProof/>
                <w:webHidden/>
              </w:rPr>
            </w:r>
            <w:r w:rsidRPr="00F32EE9">
              <w:rPr>
                <w:noProof/>
                <w:webHidden/>
              </w:rPr>
              <w:fldChar w:fldCharType="separate"/>
            </w:r>
            <w:r w:rsidRPr="00F32EE9">
              <w:rPr>
                <w:noProof/>
                <w:webHidden/>
              </w:rPr>
              <w:t>4</w:t>
            </w:r>
            <w:r w:rsidRPr="00F32EE9">
              <w:rPr>
                <w:noProof/>
                <w:webHidden/>
              </w:rPr>
              <w:fldChar w:fldCharType="end"/>
            </w:r>
          </w:hyperlink>
        </w:p>
        <w:p w14:paraId="3C335288" w14:textId="7FDCC307"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8999" w:history="1">
            <w:r w:rsidRPr="00F32EE9">
              <w:rPr>
                <w:rStyle w:val="Hyperlink"/>
                <w:noProof/>
              </w:rPr>
              <w:t>2.2</w:t>
            </w:r>
            <w:r w:rsidRPr="00F32EE9">
              <w:rPr>
                <w:rFonts w:asciiTheme="minorHAnsi" w:hAnsiTheme="minorHAnsi"/>
                <w:noProof/>
                <w:kern w:val="2"/>
                <w:sz w:val="24"/>
                <w:szCs w:val="24"/>
                <w:lang w:val="en-IN" w:eastAsia="en-IN"/>
                <w14:ligatures w14:val="standardContextual"/>
              </w:rPr>
              <w:tab/>
            </w:r>
            <w:r w:rsidRPr="00F32EE9">
              <w:rPr>
                <w:rStyle w:val="Hyperlink"/>
                <w:noProof/>
              </w:rPr>
              <w:t>Significant Increase in Credit Risk</w:t>
            </w:r>
            <w:r w:rsidRPr="00F32EE9">
              <w:rPr>
                <w:noProof/>
                <w:webHidden/>
              </w:rPr>
              <w:tab/>
            </w:r>
            <w:r w:rsidRPr="00F32EE9">
              <w:rPr>
                <w:noProof/>
                <w:webHidden/>
              </w:rPr>
              <w:fldChar w:fldCharType="begin"/>
            </w:r>
            <w:r w:rsidRPr="00F32EE9">
              <w:rPr>
                <w:noProof/>
                <w:webHidden/>
              </w:rPr>
              <w:instrText xml:space="preserve"> PAGEREF _Toc229058999 \h </w:instrText>
            </w:r>
            <w:r w:rsidRPr="00F32EE9">
              <w:rPr>
                <w:noProof/>
                <w:webHidden/>
              </w:rPr>
            </w:r>
            <w:r w:rsidRPr="00F32EE9">
              <w:rPr>
                <w:noProof/>
                <w:webHidden/>
              </w:rPr>
              <w:fldChar w:fldCharType="separate"/>
            </w:r>
            <w:r w:rsidRPr="00F32EE9">
              <w:rPr>
                <w:noProof/>
                <w:webHidden/>
              </w:rPr>
              <w:t>4</w:t>
            </w:r>
            <w:r w:rsidRPr="00F32EE9">
              <w:rPr>
                <w:noProof/>
                <w:webHidden/>
              </w:rPr>
              <w:fldChar w:fldCharType="end"/>
            </w:r>
          </w:hyperlink>
        </w:p>
        <w:p w14:paraId="17F20ACB" w14:textId="6115F69E" w:rsidR="001E6075" w:rsidRPr="00F32EE9" w:rsidRDefault="001E6075">
          <w:pPr>
            <w:pStyle w:val="TOC3"/>
            <w:tabs>
              <w:tab w:val="left" w:pos="1200"/>
              <w:tab w:val="right" w:leader="dot" w:pos="10790"/>
            </w:tabs>
            <w:rPr>
              <w:rFonts w:asciiTheme="minorHAnsi" w:hAnsiTheme="minorHAnsi"/>
              <w:noProof/>
              <w:kern w:val="2"/>
              <w:sz w:val="24"/>
              <w:szCs w:val="24"/>
              <w:lang w:val="en-IN" w:eastAsia="en-IN"/>
              <w14:ligatures w14:val="standardContextual"/>
            </w:rPr>
          </w:pPr>
          <w:hyperlink w:anchor="_Toc229059000" w:history="1">
            <w:r w:rsidRPr="00F32EE9">
              <w:rPr>
                <w:rStyle w:val="Hyperlink"/>
                <w:noProof/>
              </w:rPr>
              <w:t>2.2.1</w:t>
            </w:r>
            <w:r w:rsidRPr="00F32EE9">
              <w:rPr>
                <w:rFonts w:asciiTheme="minorHAnsi" w:hAnsiTheme="minorHAnsi"/>
                <w:noProof/>
                <w:kern w:val="2"/>
                <w:sz w:val="24"/>
                <w:szCs w:val="24"/>
                <w:lang w:val="en-IN" w:eastAsia="en-IN"/>
                <w14:ligatures w14:val="standardContextual"/>
              </w:rPr>
              <w:tab/>
            </w:r>
            <w:r w:rsidRPr="00F32EE9">
              <w:rPr>
                <w:rStyle w:val="Hyperlink"/>
                <w:noProof/>
              </w:rPr>
              <w:t>Stage 1: 12 Month ECL</w:t>
            </w:r>
            <w:r w:rsidRPr="00F32EE9">
              <w:rPr>
                <w:noProof/>
                <w:webHidden/>
              </w:rPr>
              <w:tab/>
            </w:r>
            <w:r w:rsidRPr="00F32EE9">
              <w:rPr>
                <w:noProof/>
                <w:webHidden/>
              </w:rPr>
              <w:fldChar w:fldCharType="begin"/>
            </w:r>
            <w:r w:rsidRPr="00F32EE9">
              <w:rPr>
                <w:noProof/>
                <w:webHidden/>
              </w:rPr>
              <w:instrText xml:space="preserve"> PAGEREF _Toc229059000 \h </w:instrText>
            </w:r>
            <w:r w:rsidRPr="00F32EE9">
              <w:rPr>
                <w:noProof/>
                <w:webHidden/>
              </w:rPr>
            </w:r>
            <w:r w:rsidRPr="00F32EE9">
              <w:rPr>
                <w:noProof/>
                <w:webHidden/>
              </w:rPr>
              <w:fldChar w:fldCharType="separate"/>
            </w:r>
            <w:r w:rsidRPr="00F32EE9">
              <w:rPr>
                <w:noProof/>
                <w:webHidden/>
              </w:rPr>
              <w:t>5</w:t>
            </w:r>
            <w:r w:rsidRPr="00F32EE9">
              <w:rPr>
                <w:noProof/>
                <w:webHidden/>
              </w:rPr>
              <w:fldChar w:fldCharType="end"/>
            </w:r>
          </w:hyperlink>
        </w:p>
        <w:p w14:paraId="3B94C9FD" w14:textId="5F693983" w:rsidR="001E6075" w:rsidRPr="00F32EE9" w:rsidRDefault="001E6075">
          <w:pPr>
            <w:pStyle w:val="TOC3"/>
            <w:tabs>
              <w:tab w:val="left" w:pos="1200"/>
              <w:tab w:val="right" w:leader="dot" w:pos="10790"/>
            </w:tabs>
            <w:rPr>
              <w:rFonts w:asciiTheme="minorHAnsi" w:hAnsiTheme="minorHAnsi"/>
              <w:noProof/>
              <w:kern w:val="2"/>
              <w:sz w:val="24"/>
              <w:szCs w:val="24"/>
              <w:lang w:val="en-IN" w:eastAsia="en-IN"/>
              <w14:ligatures w14:val="standardContextual"/>
            </w:rPr>
          </w:pPr>
          <w:hyperlink w:anchor="_Toc229059001" w:history="1">
            <w:r w:rsidRPr="00F32EE9">
              <w:rPr>
                <w:rStyle w:val="Hyperlink"/>
                <w:noProof/>
              </w:rPr>
              <w:t>2.2.2</w:t>
            </w:r>
            <w:r w:rsidRPr="00F32EE9">
              <w:rPr>
                <w:rFonts w:asciiTheme="minorHAnsi" w:hAnsiTheme="minorHAnsi"/>
                <w:noProof/>
                <w:kern w:val="2"/>
                <w:sz w:val="24"/>
                <w:szCs w:val="24"/>
                <w:lang w:val="en-IN" w:eastAsia="en-IN"/>
                <w14:ligatures w14:val="standardContextual"/>
              </w:rPr>
              <w:tab/>
            </w:r>
            <w:r w:rsidRPr="00F32EE9">
              <w:rPr>
                <w:rStyle w:val="Hyperlink"/>
                <w:noProof/>
              </w:rPr>
              <w:t>Stage 2: Lifetime ECL</w:t>
            </w:r>
            <w:r w:rsidRPr="00F32EE9">
              <w:rPr>
                <w:noProof/>
                <w:webHidden/>
              </w:rPr>
              <w:tab/>
            </w:r>
            <w:r w:rsidRPr="00F32EE9">
              <w:rPr>
                <w:noProof/>
                <w:webHidden/>
              </w:rPr>
              <w:fldChar w:fldCharType="begin"/>
            </w:r>
            <w:r w:rsidRPr="00F32EE9">
              <w:rPr>
                <w:noProof/>
                <w:webHidden/>
              </w:rPr>
              <w:instrText xml:space="preserve"> PAGEREF _Toc229059001 \h </w:instrText>
            </w:r>
            <w:r w:rsidRPr="00F32EE9">
              <w:rPr>
                <w:noProof/>
                <w:webHidden/>
              </w:rPr>
            </w:r>
            <w:r w:rsidRPr="00F32EE9">
              <w:rPr>
                <w:noProof/>
                <w:webHidden/>
              </w:rPr>
              <w:fldChar w:fldCharType="separate"/>
            </w:r>
            <w:r w:rsidRPr="00F32EE9">
              <w:rPr>
                <w:noProof/>
                <w:webHidden/>
              </w:rPr>
              <w:t>5</w:t>
            </w:r>
            <w:r w:rsidRPr="00F32EE9">
              <w:rPr>
                <w:noProof/>
                <w:webHidden/>
              </w:rPr>
              <w:fldChar w:fldCharType="end"/>
            </w:r>
          </w:hyperlink>
        </w:p>
        <w:p w14:paraId="5615CA3F" w14:textId="676EA2AD" w:rsidR="001E6075" w:rsidRPr="00F32EE9" w:rsidRDefault="001E6075">
          <w:pPr>
            <w:pStyle w:val="TOC3"/>
            <w:tabs>
              <w:tab w:val="left" w:pos="1200"/>
              <w:tab w:val="right" w:leader="dot" w:pos="10790"/>
            </w:tabs>
            <w:rPr>
              <w:rFonts w:asciiTheme="minorHAnsi" w:hAnsiTheme="minorHAnsi"/>
              <w:noProof/>
              <w:kern w:val="2"/>
              <w:sz w:val="24"/>
              <w:szCs w:val="24"/>
              <w:lang w:val="en-IN" w:eastAsia="en-IN"/>
              <w14:ligatures w14:val="standardContextual"/>
            </w:rPr>
          </w:pPr>
          <w:hyperlink w:anchor="_Toc229059002" w:history="1">
            <w:r w:rsidRPr="00F32EE9">
              <w:rPr>
                <w:rStyle w:val="Hyperlink"/>
                <w:noProof/>
              </w:rPr>
              <w:t>2.2.3</w:t>
            </w:r>
            <w:r w:rsidRPr="00F32EE9">
              <w:rPr>
                <w:rFonts w:asciiTheme="minorHAnsi" w:hAnsiTheme="minorHAnsi"/>
                <w:noProof/>
                <w:kern w:val="2"/>
                <w:sz w:val="24"/>
                <w:szCs w:val="24"/>
                <w:lang w:val="en-IN" w:eastAsia="en-IN"/>
                <w14:ligatures w14:val="standardContextual"/>
              </w:rPr>
              <w:tab/>
            </w:r>
            <w:r w:rsidRPr="00F32EE9">
              <w:rPr>
                <w:rStyle w:val="Hyperlink"/>
                <w:noProof/>
              </w:rPr>
              <w:t>Stage 3: Lifetime ECL</w:t>
            </w:r>
            <w:r w:rsidRPr="00F32EE9">
              <w:rPr>
                <w:noProof/>
                <w:webHidden/>
              </w:rPr>
              <w:tab/>
            </w:r>
            <w:r w:rsidRPr="00F32EE9">
              <w:rPr>
                <w:noProof/>
                <w:webHidden/>
              </w:rPr>
              <w:fldChar w:fldCharType="begin"/>
            </w:r>
            <w:r w:rsidRPr="00F32EE9">
              <w:rPr>
                <w:noProof/>
                <w:webHidden/>
              </w:rPr>
              <w:instrText xml:space="preserve"> PAGEREF _Toc229059002 \h </w:instrText>
            </w:r>
            <w:r w:rsidRPr="00F32EE9">
              <w:rPr>
                <w:noProof/>
                <w:webHidden/>
              </w:rPr>
            </w:r>
            <w:r w:rsidRPr="00F32EE9">
              <w:rPr>
                <w:noProof/>
                <w:webHidden/>
              </w:rPr>
              <w:fldChar w:fldCharType="separate"/>
            </w:r>
            <w:r w:rsidRPr="00F32EE9">
              <w:rPr>
                <w:noProof/>
                <w:webHidden/>
              </w:rPr>
              <w:t>6</w:t>
            </w:r>
            <w:r w:rsidRPr="00F32EE9">
              <w:rPr>
                <w:noProof/>
                <w:webHidden/>
              </w:rPr>
              <w:fldChar w:fldCharType="end"/>
            </w:r>
          </w:hyperlink>
        </w:p>
        <w:p w14:paraId="1CFCBCD6" w14:textId="7C1DE5D6"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9003" w:history="1">
            <w:r w:rsidRPr="00F32EE9">
              <w:rPr>
                <w:rStyle w:val="Hyperlink"/>
                <w:noProof/>
              </w:rPr>
              <w:t>2.3</w:t>
            </w:r>
            <w:r w:rsidRPr="00F32EE9">
              <w:rPr>
                <w:rFonts w:asciiTheme="minorHAnsi" w:hAnsiTheme="minorHAnsi"/>
                <w:noProof/>
                <w:kern w:val="2"/>
                <w:sz w:val="24"/>
                <w:szCs w:val="24"/>
                <w:lang w:val="en-IN" w:eastAsia="en-IN"/>
                <w14:ligatures w14:val="standardContextual"/>
              </w:rPr>
              <w:tab/>
            </w:r>
            <w:r w:rsidRPr="00F32EE9">
              <w:rPr>
                <w:rStyle w:val="Hyperlink"/>
                <w:noProof/>
              </w:rPr>
              <w:t>Probability Weighted ECL Scenario</w:t>
            </w:r>
            <w:r w:rsidRPr="00F32EE9">
              <w:rPr>
                <w:noProof/>
                <w:webHidden/>
              </w:rPr>
              <w:tab/>
            </w:r>
            <w:r w:rsidRPr="00F32EE9">
              <w:rPr>
                <w:noProof/>
                <w:webHidden/>
              </w:rPr>
              <w:fldChar w:fldCharType="begin"/>
            </w:r>
            <w:r w:rsidRPr="00F32EE9">
              <w:rPr>
                <w:noProof/>
                <w:webHidden/>
              </w:rPr>
              <w:instrText xml:space="preserve"> PAGEREF _Toc229059003 \h </w:instrText>
            </w:r>
            <w:r w:rsidRPr="00F32EE9">
              <w:rPr>
                <w:noProof/>
                <w:webHidden/>
              </w:rPr>
            </w:r>
            <w:r w:rsidRPr="00F32EE9">
              <w:rPr>
                <w:noProof/>
                <w:webHidden/>
              </w:rPr>
              <w:fldChar w:fldCharType="separate"/>
            </w:r>
            <w:r w:rsidRPr="00F32EE9">
              <w:rPr>
                <w:noProof/>
                <w:webHidden/>
              </w:rPr>
              <w:t>6</w:t>
            </w:r>
            <w:r w:rsidRPr="00F32EE9">
              <w:rPr>
                <w:noProof/>
                <w:webHidden/>
              </w:rPr>
              <w:fldChar w:fldCharType="end"/>
            </w:r>
          </w:hyperlink>
        </w:p>
        <w:p w14:paraId="26E53170" w14:textId="0CD9617E" w:rsidR="001E6075" w:rsidRPr="00F32EE9" w:rsidRDefault="001E6075">
          <w:pPr>
            <w:pStyle w:val="TOC1"/>
            <w:rPr>
              <w:rFonts w:asciiTheme="minorHAnsi" w:hAnsiTheme="minorHAnsi"/>
              <w:noProof/>
              <w:kern w:val="2"/>
              <w:sz w:val="24"/>
              <w:szCs w:val="24"/>
              <w:lang w:val="en-IN" w:eastAsia="en-IN"/>
              <w14:ligatures w14:val="standardContextual"/>
            </w:rPr>
          </w:pPr>
          <w:hyperlink w:anchor="_Toc229059004" w:history="1">
            <w:r w:rsidRPr="00F32EE9">
              <w:rPr>
                <w:rStyle w:val="Hyperlink"/>
                <w:noProof/>
              </w:rPr>
              <w:t>3.</w:t>
            </w:r>
            <w:r w:rsidRPr="00F32EE9">
              <w:rPr>
                <w:rFonts w:asciiTheme="minorHAnsi" w:hAnsiTheme="minorHAnsi"/>
                <w:noProof/>
                <w:kern w:val="2"/>
                <w:sz w:val="24"/>
                <w:szCs w:val="24"/>
                <w:lang w:val="en-IN" w:eastAsia="en-IN"/>
                <w14:ligatures w14:val="standardContextual"/>
              </w:rPr>
              <w:tab/>
            </w:r>
            <w:r w:rsidRPr="00F32EE9">
              <w:rPr>
                <w:rStyle w:val="Hyperlink"/>
                <w:noProof/>
              </w:rPr>
              <w:t>Model Development Methodology</w:t>
            </w:r>
            <w:r w:rsidRPr="00F32EE9">
              <w:rPr>
                <w:noProof/>
                <w:webHidden/>
              </w:rPr>
              <w:tab/>
            </w:r>
            <w:r w:rsidRPr="00F32EE9">
              <w:rPr>
                <w:noProof/>
                <w:webHidden/>
              </w:rPr>
              <w:fldChar w:fldCharType="begin"/>
            </w:r>
            <w:r w:rsidRPr="00F32EE9">
              <w:rPr>
                <w:noProof/>
                <w:webHidden/>
              </w:rPr>
              <w:instrText xml:space="preserve"> PAGEREF _Toc229059004 \h </w:instrText>
            </w:r>
            <w:r w:rsidRPr="00F32EE9">
              <w:rPr>
                <w:noProof/>
                <w:webHidden/>
              </w:rPr>
            </w:r>
            <w:r w:rsidRPr="00F32EE9">
              <w:rPr>
                <w:noProof/>
                <w:webHidden/>
              </w:rPr>
              <w:fldChar w:fldCharType="separate"/>
            </w:r>
            <w:r w:rsidRPr="00F32EE9">
              <w:rPr>
                <w:noProof/>
                <w:webHidden/>
              </w:rPr>
              <w:t>7</w:t>
            </w:r>
            <w:r w:rsidRPr="00F32EE9">
              <w:rPr>
                <w:noProof/>
                <w:webHidden/>
              </w:rPr>
              <w:fldChar w:fldCharType="end"/>
            </w:r>
          </w:hyperlink>
        </w:p>
        <w:p w14:paraId="41A66B68" w14:textId="1992C06E"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9005" w:history="1">
            <w:r w:rsidRPr="00F32EE9">
              <w:rPr>
                <w:rStyle w:val="Hyperlink"/>
                <w:noProof/>
              </w:rPr>
              <w:t>3.1</w:t>
            </w:r>
            <w:r w:rsidRPr="00F32EE9">
              <w:rPr>
                <w:rFonts w:asciiTheme="minorHAnsi" w:hAnsiTheme="minorHAnsi"/>
                <w:noProof/>
                <w:kern w:val="2"/>
                <w:sz w:val="24"/>
                <w:szCs w:val="24"/>
                <w:lang w:val="en-IN" w:eastAsia="en-IN"/>
                <w14:ligatures w14:val="standardContextual"/>
              </w:rPr>
              <w:tab/>
            </w:r>
            <w:r w:rsidRPr="00F32EE9">
              <w:rPr>
                <w:rStyle w:val="Hyperlink"/>
                <w:noProof/>
              </w:rPr>
              <w:t>PD Modelling Approach</w:t>
            </w:r>
            <w:r w:rsidRPr="00F32EE9">
              <w:rPr>
                <w:noProof/>
                <w:webHidden/>
              </w:rPr>
              <w:tab/>
            </w:r>
            <w:r w:rsidRPr="00F32EE9">
              <w:rPr>
                <w:noProof/>
                <w:webHidden/>
              </w:rPr>
              <w:fldChar w:fldCharType="begin"/>
            </w:r>
            <w:r w:rsidRPr="00F32EE9">
              <w:rPr>
                <w:noProof/>
                <w:webHidden/>
              </w:rPr>
              <w:instrText xml:space="preserve"> PAGEREF _Toc229059005 \h </w:instrText>
            </w:r>
            <w:r w:rsidRPr="00F32EE9">
              <w:rPr>
                <w:noProof/>
                <w:webHidden/>
              </w:rPr>
            </w:r>
            <w:r w:rsidRPr="00F32EE9">
              <w:rPr>
                <w:noProof/>
                <w:webHidden/>
              </w:rPr>
              <w:fldChar w:fldCharType="separate"/>
            </w:r>
            <w:r w:rsidRPr="00F32EE9">
              <w:rPr>
                <w:noProof/>
                <w:webHidden/>
              </w:rPr>
              <w:t>7</w:t>
            </w:r>
            <w:r w:rsidRPr="00F32EE9">
              <w:rPr>
                <w:noProof/>
                <w:webHidden/>
              </w:rPr>
              <w:fldChar w:fldCharType="end"/>
            </w:r>
          </w:hyperlink>
        </w:p>
        <w:p w14:paraId="287346D4" w14:textId="794523D8"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9006" w:history="1">
            <w:r w:rsidRPr="00F32EE9">
              <w:rPr>
                <w:rStyle w:val="Hyperlink"/>
                <w:noProof/>
              </w:rPr>
              <w:t>3.2</w:t>
            </w:r>
            <w:r w:rsidRPr="00F32EE9">
              <w:rPr>
                <w:rFonts w:asciiTheme="minorHAnsi" w:hAnsiTheme="minorHAnsi"/>
                <w:noProof/>
                <w:kern w:val="2"/>
                <w:sz w:val="24"/>
                <w:szCs w:val="24"/>
                <w:lang w:val="en-IN" w:eastAsia="en-IN"/>
                <w14:ligatures w14:val="standardContextual"/>
              </w:rPr>
              <w:tab/>
            </w:r>
            <w:r w:rsidRPr="00F32EE9">
              <w:rPr>
                <w:rStyle w:val="Hyperlink"/>
                <w:noProof/>
              </w:rPr>
              <w:t>Loss Given Default</w:t>
            </w:r>
            <w:r w:rsidRPr="00F32EE9">
              <w:rPr>
                <w:noProof/>
                <w:webHidden/>
              </w:rPr>
              <w:tab/>
            </w:r>
            <w:r w:rsidRPr="00F32EE9">
              <w:rPr>
                <w:noProof/>
                <w:webHidden/>
              </w:rPr>
              <w:fldChar w:fldCharType="begin"/>
            </w:r>
            <w:r w:rsidRPr="00F32EE9">
              <w:rPr>
                <w:noProof/>
                <w:webHidden/>
              </w:rPr>
              <w:instrText xml:space="preserve"> PAGEREF _Toc229059006 \h </w:instrText>
            </w:r>
            <w:r w:rsidRPr="00F32EE9">
              <w:rPr>
                <w:noProof/>
                <w:webHidden/>
              </w:rPr>
            </w:r>
            <w:r w:rsidRPr="00F32EE9">
              <w:rPr>
                <w:noProof/>
                <w:webHidden/>
              </w:rPr>
              <w:fldChar w:fldCharType="separate"/>
            </w:r>
            <w:r w:rsidRPr="00F32EE9">
              <w:rPr>
                <w:noProof/>
                <w:webHidden/>
              </w:rPr>
              <w:t>9</w:t>
            </w:r>
            <w:r w:rsidRPr="00F32EE9">
              <w:rPr>
                <w:noProof/>
                <w:webHidden/>
              </w:rPr>
              <w:fldChar w:fldCharType="end"/>
            </w:r>
          </w:hyperlink>
        </w:p>
        <w:p w14:paraId="697108E2" w14:textId="12DDFA07"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9007" w:history="1">
            <w:r w:rsidRPr="00F32EE9">
              <w:rPr>
                <w:rStyle w:val="Hyperlink"/>
                <w:noProof/>
              </w:rPr>
              <w:t>3.3</w:t>
            </w:r>
            <w:r w:rsidRPr="00F32EE9">
              <w:rPr>
                <w:rFonts w:asciiTheme="minorHAnsi" w:hAnsiTheme="minorHAnsi"/>
                <w:noProof/>
                <w:kern w:val="2"/>
                <w:sz w:val="24"/>
                <w:szCs w:val="24"/>
                <w:lang w:val="en-IN" w:eastAsia="en-IN"/>
                <w14:ligatures w14:val="standardContextual"/>
              </w:rPr>
              <w:tab/>
            </w:r>
            <w:r w:rsidRPr="00F32EE9">
              <w:rPr>
                <w:rStyle w:val="Hyperlink"/>
                <w:noProof/>
              </w:rPr>
              <w:t>Exposure at Default</w:t>
            </w:r>
            <w:r w:rsidRPr="00F32EE9">
              <w:rPr>
                <w:noProof/>
                <w:webHidden/>
              </w:rPr>
              <w:tab/>
            </w:r>
            <w:r w:rsidRPr="00F32EE9">
              <w:rPr>
                <w:noProof/>
                <w:webHidden/>
              </w:rPr>
              <w:fldChar w:fldCharType="begin"/>
            </w:r>
            <w:r w:rsidRPr="00F32EE9">
              <w:rPr>
                <w:noProof/>
                <w:webHidden/>
              </w:rPr>
              <w:instrText xml:space="preserve"> PAGEREF _Toc229059007 \h </w:instrText>
            </w:r>
            <w:r w:rsidRPr="00F32EE9">
              <w:rPr>
                <w:noProof/>
                <w:webHidden/>
              </w:rPr>
            </w:r>
            <w:r w:rsidRPr="00F32EE9">
              <w:rPr>
                <w:noProof/>
                <w:webHidden/>
              </w:rPr>
              <w:fldChar w:fldCharType="separate"/>
            </w:r>
            <w:r w:rsidRPr="00F32EE9">
              <w:rPr>
                <w:noProof/>
                <w:webHidden/>
              </w:rPr>
              <w:t>9</w:t>
            </w:r>
            <w:r w:rsidRPr="00F32EE9">
              <w:rPr>
                <w:noProof/>
                <w:webHidden/>
              </w:rPr>
              <w:fldChar w:fldCharType="end"/>
            </w:r>
          </w:hyperlink>
        </w:p>
        <w:p w14:paraId="306EA616" w14:textId="34757850" w:rsidR="001E6075" w:rsidRPr="00F32EE9" w:rsidRDefault="001E6075">
          <w:pPr>
            <w:pStyle w:val="TOC1"/>
            <w:rPr>
              <w:rFonts w:asciiTheme="minorHAnsi" w:hAnsiTheme="minorHAnsi"/>
              <w:noProof/>
              <w:kern w:val="2"/>
              <w:sz w:val="24"/>
              <w:szCs w:val="24"/>
              <w:lang w:val="en-IN" w:eastAsia="en-IN"/>
              <w14:ligatures w14:val="standardContextual"/>
            </w:rPr>
          </w:pPr>
          <w:hyperlink w:anchor="_Toc229059008" w:history="1">
            <w:r w:rsidRPr="00F32EE9">
              <w:rPr>
                <w:rStyle w:val="Hyperlink"/>
                <w:noProof/>
              </w:rPr>
              <w:t>4.</w:t>
            </w:r>
            <w:r w:rsidRPr="00F32EE9">
              <w:rPr>
                <w:rFonts w:asciiTheme="minorHAnsi" w:hAnsiTheme="minorHAnsi"/>
                <w:noProof/>
                <w:kern w:val="2"/>
                <w:sz w:val="24"/>
                <w:szCs w:val="24"/>
                <w:lang w:val="en-IN" w:eastAsia="en-IN"/>
                <w14:ligatures w14:val="standardContextual"/>
              </w:rPr>
              <w:tab/>
            </w:r>
            <w:r w:rsidRPr="00F32EE9">
              <w:rPr>
                <w:rStyle w:val="Hyperlink"/>
                <w:noProof/>
              </w:rPr>
              <w:t>ECL Computation Methodology</w:t>
            </w:r>
            <w:r w:rsidRPr="00F32EE9">
              <w:rPr>
                <w:noProof/>
                <w:webHidden/>
              </w:rPr>
              <w:tab/>
            </w:r>
            <w:r w:rsidRPr="00F32EE9">
              <w:rPr>
                <w:noProof/>
                <w:webHidden/>
              </w:rPr>
              <w:fldChar w:fldCharType="begin"/>
            </w:r>
            <w:r w:rsidRPr="00F32EE9">
              <w:rPr>
                <w:noProof/>
                <w:webHidden/>
              </w:rPr>
              <w:instrText xml:space="preserve"> PAGEREF _Toc229059008 \h </w:instrText>
            </w:r>
            <w:r w:rsidRPr="00F32EE9">
              <w:rPr>
                <w:noProof/>
                <w:webHidden/>
              </w:rPr>
            </w:r>
            <w:r w:rsidRPr="00F32EE9">
              <w:rPr>
                <w:noProof/>
                <w:webHidden/>
              </w:rPr>
              <w:fldChar w:fldCharType="separate"/>
            </w:r>
            <w:r w:rsidRPr="00F32EE9">
              <w:rPr>
                <w:noProof/>
                <w:webHidden/>
              </w:rPr>
              <w:t>9</w:t>
            </w:r>
            <w:r w:rsidRPr="00F32EE9">
              <w:rPr>
                <w:noProof/>
                <w:webHidden/>
              </w:rPr>
              <w:fldChar w:fldCharType="end"/>
            </w:r>
          </w:hyperlink>
        </w:p>
        <w:p w14:paraId="1FE6679F" w14:textId="137934DA"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9009" w:history="1">
            <w:r w:rsidRPr="00F32EE9">
              <w:rPr>
                <w:rStyle w:val="Hyperlink"/>
                <w:noProof/>
              </w:rPr>
              <w:t>4.1</w:t>
            </w:r>
            <w:r w:rsidRPr="00F32EE9">
              <w:rPr>
                <w:rFonts w:asciiTheme="minorHAnsi" w:hAnsiTheme="minorHAnsi"/>
                <w:noProof/>
                <w:kern w:val="2"/>
                <w:sz w:val="24"/>
                <w:szCs w:val="24"/>
                <w:lang w:val="en-IN" w:eastAsia="en-IN"/>
                <w14:ligatures w14:val="standardContextual"/>
              </w:rPr>
              <w:tab/>
            </w:r>
            <w:r w:rsidRPr="00F32EE9">
              <w:rPr>
                <w:rStyle w:val="Hyperlink"/>
                <w:noProof/>
              </w:rPr>
              <w:t>Probability-weighted Outcome</w:t>
            </w:r>
            <w:r w:rsidRPr="00F32EE9">
              <w:rPr>
                <w:noProof/>
                <w:webHidden/>
              </w:rPr>
              <w:tab/>
            </w:r>
            <w:r w:rsidRPr="00F32EE9">
              <w:rPr>
                <w:noProof/>
                <w:webHidden/>
              </w:rPr>
              <w:fldChar w:fldCharType="begin"/>
            </w:r>
            <w:r w:rsidRPr="00F32EE9">
              <w:rPr>
                <w:noProof/>
                <w:webHidden/>
              </w:rPr>
              <w:instrText xml:space="preserve"> PAGEREF _Toc229059009 \h </w:instrText>
            </w:r>
            <w:r w:rsidRPr="00F32EE9">
              <w:rPr>
                <w:noProof/>
                <w:webHidden/>
              </w:rPr>
            </w:r>
            <w:r w:rsidRPr="00F32EE9">
              <w:rPr>
                <w:noProof/>
                <w:webHidden/>
              </w:rPr>
              <w:fldChar w:fldCharType="separate"/>
            </w:r>
            <w:r w:rsidRPr="00F32EE9">
              <w:rPr>
                <w:noProof/>
                <w:webHidden/>
              </w:rPr>
              <w:t>9</w:t>
            </w:r>
            <w:r w:rsidRPr="00F32EE9">
              <w:rPr>
                <w:noProof/>
                <w:webHidden/>
              </w:rPr>
              <w:fldChar w:fldCharType="end"/>
            </w:r>
          </w:hyperlink>
        </w:p>
        <w:p w14:paraId="6521F921" w14:textId="4BF4E62F"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9010" w:history="1">
            <w:r w:rsidRPr="00F32EE9">
              <w:rPr>
                <w:rStyle w:val="Hyperlink"/>
                <w:noProof/>
              </w:rPr>
              <w:t>4.2</w:t>
            </w:r>
            <w:r w:rsidRPr="00F32EE9">
              <w:rPr>
                <w:rFonts w:asciiTheme="minorHAnsi" w:hAnsiTheme="minorHAnsi"/>
                <w:noProof/>
                <w:kern w:val="2"/>
                <w:sz w:val="24"/>
                <w:szCs w:val="24"/>
                <w:lang w:val="en-IN" w:eastAsia="en-IN"/>
                <w14:ligatures w14:val="standardContextual"/>
              </w:rPr>
              <w:tab/>
            </w:r>
            <w:r w:rsidRPr="00F32EE9">
              <w:rPr>
                <w:rStyle w:val="Hyperlink"/>
                <w:noProof/>
              </w:rPr>
              <w:t>ECL Component</w:t>
            </w:r>
            <w:r w:rsidRPr="00F32EE9">
              <w:rPr>
                <w:noProof/>
                <w:webHidden/>
              </w:rPr>
              <w:tab/>
            </w:r>
            <w:r w:rsidRPr="00F32EE9">
              <w:rPr>
                <w:noProof/>
                <w:webHidden/>
              </w:rPr>
              <w:fldChar w:fldCharType="begin"/>
            </w:r>
            <w:r w:rsidRPr="00F32EE9">
              <w:rPr>
                <w:noProof/>
                <w:webHidden/>
              </w:rPr>
              <w:instrText xml:space="preserve"> PAGEREF _Toc229059010 \h </w:instrText>
            </w:r>
            <w:r w:rsidRPr="00F32EE9">
              <w:rPr>
                <w:noProof/>
                <w:webHidden/>
              </w:rPr>
            </w:r>
            <w:r w:rsidRPr="00F32EE9">
              <w:rPr>
                <w:noProof/>
                <w:webHidden/>
              </w:rPr>
              <w:fldChar w:fldCharType="separate"/>
            </w:r>
            <w:r w:rsidRPr="00F32EE9">
              <w:rPr>
                <w:noProof/>
                <w:webHidden/>
              </w:rPr>
              <w:t>10</w:t>
            </w:r>
            <w:r w:rsidRPr="00F32EE9">
              <w:rPr>
                <w:noProof/>
                <w:webHidden/>
              </w:rPr>
              <w:fldChar w:fldCharType="end"/>
            </w:r>
          </w:hyperlink>
        </w:p>
        <w:p w14:paraId="635F53EF" w14:textId="73046DE6" w:rsidR="001E6075" w:rsidRPr="00F32EE9" w:rsidRDefault="001E6075">
          <w:pPr>
            <w:pStyle w:val="TOC2"/>
            <w:tabs>
              <w:tab w:val="left" w:pos="960"/>
              <w:tab w:val="right" w:leader="dot" w:pos="10790"/>
            </w:tabs>
            <w:rPr>
              <w:rFonts w:asciiTheme="minorHAnsi" w:hAnsiTheme="minorHAnsi"/>
              <w:noProof/>
              <w:kern w:val="2"/>
              <w:sz w:val="24"/>
              <w:szCs w:val="24"/>
              <w:lang w:val="en-IN" w:eastAsia="en-IN"/>
              <w14:ligatures w14:val="standardContextual"/>
            </w:rPr>
          </w:pPr>
          <w:hyperlink w:anchor="_Toc229059011" w:history="1">
            <w:r w:rsidRPr="00F32EE9">
              <w:rPr>
                <w:rStyle w:val="Hyperlink"/>
                <w:noProof/>
              </w:rPr>
              <w:t>4.3</w:t>
            </w:r>
            <w:r w:rsidRPr="00F32EE9">
              <w:rPr>
                <w:rFonts w:asciiTheme="minorHAnsi" w:hAnsiTheme="minorHAnsi"/>
                <w:noProof/>
                <w:kern w:val="2"/>
                <w:sz w:val="24"/>
                <w:szCs w:val="24"/>
                <w:lang w:val="en-IN" w:eastAsia="en-IN"/>
                <w14:ligatures w14:val="standardContextual"/>
              </w:rPr>
              <w:tab/>
            </w:r>
            <w:r w:rsidRPr="00F32EE9">
              <w:rPr>
                <w:rStyle w:val="Hyperlink"/>
                <w:noProof/>
              </w:rPr>
              <w:t>Prudential Floor &amp; Impairment Reserve:</w:t>
            </w:r>
            <w:r w:rsidRPr="00F32EE9">
              <w:rPr>
                <w:noProof/>
                <w:webHidden/>
              </w:rPr>
              <w:tab/>
            </w:r>
            <w:r w:rsidRPr="00F32EE9">
              <w:rPr>
                <w:noProof/>
                <w:webHidden/>
              </w:rPr>
              <w:fldChar w:fldCharType="begin"/>
            </w:r>
            <w:r w:rsidRPr="00F32EE9">
              <w:rPr>
                <w:noProof/>
                <w:webHidden/>
              </w:rPr>
              <w:instrText xml:space="preserve"> PAGEREF _Toc229059011 \h </w:instrText>
            </w:r>
            <w:r w:rsidRPr="00F32EE9">
              <w:rPr>
                <w:noProof/>
                <w:webHidden/>
              </w:rPr>
            </w:r>
            <w:r w:rsidRPr="00F32EE9">
              <w:rPr>
                <w:noProof/>
                <w:webHidden/>
              </w:rPr>
              <w:fldChar w:fldCharType="separate"/>
            </w:r>
            <w:r w:rsidRPr="00F32EE9">
              <w:rPr>
                <w:noProof/>
                <w:webHidden/>
              </w:rPr>
              <w:t>11</w:t>
            </w:r>
            <w:r w:rsidRPr="00F32EE9">
              <w:rPr>
                <w:noProof/>
                <w:webHidden/>
              </w:rPr>
              <w:fldChar w:fldCharType="end"/>
            </w:r>
          </w:hyperlink>
        </w:p>
        <w:p w14:paraId="5B23D5B5" w14:textId="69B1DA80" w:rsidR="001E6075" w:rsidRPr="00F32EE9" w:rsidRDefault="001E6075">
          <w:pPr>
            <w:pStyle w:val="TOC1"/>
            <w:rPr>
              <w:rFonts w:asciiTheme="minorHAnsi" w:hAnsiTheme="minorHAnsi"/>
              <w:noProof/>
              <w:kern w:val="2"/>
              <w:sz w:val="24"/>
              <w:szCs w:val="24"/>
              <w:lang w:val="en-IN" w:eastAsia="en-IN"/>
              <w14:ligatures w14:val="standardContextual"/>
            </w:rPr>
          </w:pPr>
          <w:hyperlink w:anchor="_Toc229059012" w:history="1">
            <w:r w:rsidRPr="00F32EE9">
              <w:rPr>
                <w:rStyle w:val="Hyperlink"/>
                <w:noProof/>
              </w:rPr>
              <w:t>5.</w:t>
            </w:r>
            <w:r w:rsidRPr="00F32EE9">
              <w:rPr>
                <w:rFonts w:asciiTheme="minorHAnsi" w:hAnsiTheme="minorHAnsi"/>
                <w:noProof/>
                <w:kern w:val="2"/>
                <w:sz w:val="24"/>
                <w:szCs w:val="24"/>
                <w:lang w:val="en-IN" w:eastAsia="en-IN"/>
                <w14:ligatures w14:val="standardContextual"/>
              </w:rPr>
              <w:tab/>
            </w:r>
            <w:r w:rsidRPr="00F32EE9">
              <w:rPr>
                <w:rStyle w:val="Hyperlink"/>
                <w:noProof/>
              </w:rPr>
              <w:t>Disclosures and Reporting</w:t>
            </w:r>
            <w:r w:rsidRPr="00F32EE9">
              <w:rPr>
                <w:noProof/>
                <w:webHidden/>
              </w:rPr>
              <w:tab/>
            </w:r>
            <w:r w:rsidRPr="00F32EE9">
              <w:rPr>
                <w:noProof/>
                <w:webHidden/>
              </w:rPr>
              <w:fldChar w:fldCharType="begin"/>
            </w:r>
            <w:r w:rsidRPr="00F32EE9">
              <w:rPr>
                <w:noProof/>
                <w:webHidden/>
              </w:rPr>
              <w:instrText xml:space="preserve"> PAGEREF _Toc229059012 \h </w:instrText>
            </w:r>
            <w:r w:rsidRPr="00F32EE9">
              <w:rPr>
                <w:noProof/>
                <w:webHidden/>
              </w:rPr>
            </w:r>
            <w:r w:rsidRPr="00F32EE9">
              <w:rPr>
                <w:noProof/>
                <w:webHidden/>
              </w:rPr>
              <w:fldChar w:fldCharType="separate"/>
            </w:r>
            <w:r w:rsidRPr="00F32EE9">
              <w:rPr>
                <w:noProof/>
                <w:webHidden/>
              </w:rPr>
              <w:t>11</w:t>
            </w:r>
            <w:r w:rsidRPr="00F32EE9">
              <w:rPr>
                <w:noProof/>
                <w:webHidden/>
              </w:rPr>
              <w:fldChar w:fldCharType="end"/>
            </w:r>
          </w:hyperlink>
        </w:p>
        <w:p w14:paraId="08CA7173" w14:textId="2D11CD43" w:rsidR="001E6075" w:rsidRPr="00F32EE9" w:rsidRDefault="001E6075">
          <w:pPr>
            <w:pStyle w:val="TOC1"/>
            <w:rPr>
              <w:rFonts w:asciiTheme="minorHAnsi" w:hAnsiTheme="minorHAnsi"/>
              <w:noProof/>
              <w:kern w:val="2"/>
              <w:sz w:val="24"/>
              <w:szCs w:val="24"/>
              <w:lang w:val="en-IN" w:eastAsia="en-IN"/>
              <w14:ligatures w14:val="standardContextual"/>
            </w:rPr>
          </w:pPr>
          <w:hyperlink w:anchor="_Toc229059013" w:history="1">
            <w:r w:rsidRPr="00F32EE9">
              <w:rPr>
                <w:rStyle w:val="Hyperlink"/>
                <w:noProof/>
              </w:rPr>
              <w:t>6.</w:t>
            </w:r>
            <w:r w:rsidRPr="00F32EE9">
              <w:rPr>
                <w:rFonts w:asciiTheme="minorHAnsi" w:hAnsiTheme="minorHAnsi"/>
                <w:noProof/>
                <w:kern w:val="2"/>
                <w:sz w:val="24"/>
                <w:szCs w:val="24"/>
                <w:lang w:val="en-IN" w:eastAsia="en-IN"/>
                <w14:ligatures w14:val="standardContextual"/>
              </w:rPr>
              <w:tab/>
            </w:r>
            <w:r w:rsidRPr="00F32EE9">
              <w:rPr>
                <w:rStyle w:val="Hyperlink"/>
                <w:noProof/>
              </w:rPr>
              <w:t>Delegation of Power</w:t>
            </w:r>
            <w:r w:rsidRPr="00F32EE9">
              <w:rPr>
                <w:noProof/>
                <w:webHidden/>
              </w:rPr>
              <w:tab/>
            </w:r>
            <w:r w:rsidRPr="00F32EE9">
              <w:rPr>
                <w:noProof/>
                <w:webHidden/>
              </w:rPr>
              <w:fldChar w:fldCharType="begin"/>
            </w:r>
            <w:r w:rsidRPr="00F32EE9">
              <w:rPr>
                <w:noProof/>
                <w:webHidden/>
              </w:rPr>
              <w:instrText xml:space="preserve"> PAGEREF _Toc229059013 \h </w:instrText>
            </w:r>
            <w:r w:rsidRPr="00F32EE9">
              <w:rPr>
                <w:noProof/>
                <w:webHidden/>
              </w:rPr>
            </w:r>
            <w:r w:rsidRPr="00F32EE9">
              <w:rPr>
                <w:noProof/>
                <w:webHidden/>
              </w:rPr>
              <w:fldChar w:fldCharType="separate"/>
            </w:r>
            <w:r w:rsidRPr="00F32EE9">
              <w:rPr>
                <w:noProof/>
                <w:webHidden/>
              </w:rPr>
              <w:t>11</w:t>
            </w:r>
            <w:r w:rsidRPr="00F32EE9">
              <w:rPr>
                <w:noProof/>
                <w:webHidden/>
              </w:rPr>
              <w:fldChar w:fldCharType="end"/>
            </w:r>
          </w:hyperlink>
        </w:p>
        <w:p w14:paraId="0011BEDD" w14:textId="596F0372" w:rsidR="00CA588C" w:rsidRPr="00F32EE9" w:rsidRDefault="00CA588C">
          <w:r w:rsidRPr="00F32EE9">
            <w:rPr>
              <w:b/>
              <w:bCs/>
              <w:noProof/>
            </w:rPr>
            <w:fldChar w:fldCharType="end"/>
          </w:r>
        </w:p>
      </w:sdtContent>
    </w:sdt>
    <w:p w14:paraId="1DE83327" w14:textId="28CE945A" w:rsidR="00510EC9" w:rsidRPr="00F32EE9" w:rsidRDefault="0028275D" w:rsidP="00510EC9">
      <w:r w:rsidRPr="00F32EE9">
        <w:br w:type="page"/>
      </w:r>
    </w:p>
    <w:p w14:paraId="19C124E5" w14:textId="6F90B7CD" w:rsidR="00DF79EA" w:rsidRPr="00F32EE9" w:rsidRDefault="0028275D" w:rsidP="005A6AE3">
      <w:pPr>
        <w:pStyle w:val="Heading1"/>
        <w:numPr>
          <w:ilvl w:val="0"/>
          <w:numId w:val="19"/>
        </w:numPr>
      </w:pPr>
      <w:bookmarkStart w:id="0" w:name="_Toc229058992"/>
      <w:r w:rsidRPr="00F32EE9">
        <w:lastRenderedPageBreak/>
        <w:t>Introduction</w:t>
      </w:r>
      <w:bookmarkEnd w:id="0"/>
    </w:p>
    <w:p w14:paraId="21B123E9" w14:textId="0C856589" w:rsidR="00DF79EA" w:rsidRPr="00F32EE9" w:rsidRDefault="00510EC9" w:rsidP="005A6AE3">
      <w:pPr>
        <w:pStyle w:val="Heading2"/>
        <w:numPr>
          <w:ilvl w:val="0"/>
          <w:numId w:val="14"/>
        </w:numPr>
        <w:tabs>
          <w:tab w:val="left" w:pos="450"/>
        </w:tabs>
        <w:ind w:left="450" w:hanging="450"/>
      </w:pPr>
      <w:bookmarkStart w:id="1" w:name="_Toc229058993"/>
      <w:r w:rsidRPr="00F32EE9">
        <w:t>Background</w:t>
      </w:r>
      <w:bookmarkEnd w:id="1"/>
    </w:p>
    <w:p w14:paraId="5311EA80" w14:textId="7B6C90F9" w:rsidR="00002843" w:rsidRPr="00F32EE9" w:rsidRDefault="00F6674E" w:rsidP="00307D79">
      <w:pPr>
        <w:spacing w:after="0"/>
        <w:jc w:val="both"/>
        <w:rPr>
          <w:rFonts w:cs="Calibri"/>
        </w:rPr>
      </w:pPr>
      <w:r w:rsidRPr="00F32EE9">
        <w:rPr>
          <w:rFonts w:cs="Calibri"/>
        </w:rPr>
        <w:t>IND AS 10</w:t>
      </w:r>
      <w:r w:rsidR="00EE48D6" w:rsidRPr="00F32EE9">
        <w:rPr>
          <w:rFonts w:cs="Calibri"/>
        </w:rPr>
        <w:t xml:space="preserve">9 introduces a shift from the </w:t>
      </w:r>
      <w:r w:rsidR="00EE48D6" w:rsidRPr="00F32EE9">
        <w:rPr>
          <w:rFonts w:cs="Calibri"/>
          <w:i/>
          <w:iCs/>
        </w:rPr>
        <w:t>incurred loss model</w:t>
      </w:r>
      <w:r w:rsidR="00EE48D6" w:rsidRPr="00F32EE9">
        <w:rPr>
          <w:rFonts w:cs="Calibri"/>
        </w:rPr>
        <w:t xml:space="preserve"> </w:t>
      </w:r>
      <w:r w:rsidR="00512719" w:rsidRPr="00F32EE9">
        <w:rPr>
          <w:rFonts w:cs="Calibri"/>
        </w:rPr>
        <w:t>prescribed to</w:t>
      </w:r>
      <w:r w:rsidR="00EE48D6" w:rsidRPr="00F32EE9">
        <w:rPr>
          <w:rFonts w:cs="Calibri"/>
        </w:rPr>
        <w:t xml:space="preserve"> an Expected Credit Loss (ECL) framework. Under this approach, impairment is recognized from the very beginning of an asset’s life, with recognition depending on the credit risk associated with the asset at origination.</w:t>
      </w:r>
    </w:p>
    <w:p w14:paraId="364C4B3D" w14:textId="77777777" w:rsidR="00307D79" w:rsidRPr="00F32EE9" w:rsidRDefault="00307D79" w:rsidP="00307D79">
      <w:pPr>
        <w:spacing w:after="0"/>
        <w:jc w:val="both"/>
        <w:rPr>
          <w:rFonts w:cs="Calibri"/>
        </w:rPr>
      </w:pPr>
    </w:p>
    <w:p w14:paraId="71D814FA" w14:textId="2AFAD65A" w:rsidR="00002843" w:rsidRPr="00F32EE9" w:rsidRDefault="00307D79" w:rsidP="00307D79">
      <w:pPr>
        <w:spacing w:after="0"/>
        <w:jc w:val="both"/>
        <w:rPr>
          <w:rFonts w:cs="Calibri"/>
        </w:rPr>
      </w:pPr>
      <w:r w:rsidRPr="00F32EE9">
        <w:rPr>
          <w:rFonts w:cs="Calibri"/>
        </w:rPr>
        <w:t>In accordance with Ind AS 109, the Company applies expected credit loss (ECL) model for measurement and recognition of impairment loss on the following financial assets and credit risk exposure:</w:t>
      </w:r>
    </w:p>
    <w:p w14:paraId="612333E6" w14:textId="77777777" w:rsidR="00307D79" w:rsidRPr="00002843" w:rsidRDefault="00307D79" w:rsidP="00307D79">
      <w:pPr>
        <w:spacing w:after="0"/>
        <w:jc w:val="both"/>
        <w:rPr>
          <w:rFonts w:cs="Calibri"/>
          <w:lang w:val="en-IN"/>
        </w:rPr>
      </w:pPr>
    </w:p>
    <w:p w14:paraId="3F9AB319" w14:textId="7E7724FE" w:rsidR="00002843" w:rsidRPr="00F32EE9" w:rsidRDefault="00002843" w:rsidP="00307D79">
      <w:pPr>
        <w:spacing w:after="0"/>
        <w:jc w:val="both"/>
        <w:rPr>
          <w:rFonts w:cs="Calibri"/>
          <w:lang w:val="en-IN"/>
        </w:rPr>
      </w:pPr>
      <w:r w:rsidRPr="00002843">
        <w:rPr>
          <w:rFonts w:cs="Calibri"/>
          <w:lang w:val="en-IN"/>
        </w:rPr>
        <w:t xml:space="preserve">(a) </w:t>
      </w:r>
      <w:r w:rsidRPr="00F32EE9">
        <w:rPr>
          <w:rFonts w:cs="Calibri"/>
        </w:rPr>
        <w:t>Financial assets of IRFC that are debt instruments, and are measured at amortized cost e.g., loans, debt securities, deposits and bank balance.</w:t>
      </w:r>
    </w:p>
    <w:p w14:paraId="192BA081" w14:textId="621B42D3" w:rsidR="00002843" w:rsidRPr="00F32EE9" w:rsidRDefault="00002843" w:rsidP="00307D79">
      <w:pPr>
        <w:spacing w:after="0"/>
        <w:jc w:val="both"/>
        <w:rPr>
          <w:rFonts w:cs="Calibri"/>
          <w:lang w:val="en-IN"/>
        </w:rPr>
      </w:pPr>
      <w:r w:rsidRPr="00002843">
        <w:rPr>
          <w:rFonts w:cs="Calibri"/>
          <w:lang w:val="en-IN"/>
        </w:rPr>
        <w:t xml:space="preserve">(b) </w:t>
      </w:r>
      <w:r w:rsidRPr="00F32EE9">
        <w:rPr>
          <w:rFonts w:cs="Calibri"/>
        </w:rPr>
        <w:t>Financial assets of IRFC that are debt instruments and are measured as at FVTOCI.</w:t>
      </w:r>
    </w:p>
    <w:p w14:paraId="0B6FD5B1" w14:textId="70B51831" w:rsidR="00002843" w:rsidRPr="00F32EE9" w:rsidRDefault="00002843" w:rsidP="00307D79">
      <w:pPr>
        <w:spacing w:after="0"/>
        <w:jc w:val="both"/>
        <w:rPr>
          <w:rFonts w:cs="Calibri"/>
          <w:lang w:val="en-IN"/>
        </w:rPr>
      </w:pPr>
      <w:r w:rsidRPr="00002843">
        <w:rPr>
          <w:rFonts w:cs="Calibri"/>
          <w:lang w:val="en-IN"/>
        </w:rPr>
        <w:t xml:space="preserve">(c) </w:t>
      </w:r>
      <w:r w:rsidRPr="00F32EE9">
        <w:rPr>
          <w:rFonts w:cs="Calibri"/>
        </w:rPr>
        <w:t>Loan assets of IRFC which are not measured as at FVTPL</w:t>
      </w:r>
    </w:p>
    <w:p w14:paraId="40265F05" w14:textId="488DD6DF" w:rsidR="00002843" w:rsidRPr="00F32EE9" w:rsidRDefault="00002843" w:rsidP="00307D79">
      <w:pPr>
        <w:spacing w:after="0"/>
        <w:jc w:val="both"/>
        <w:rPr>
          <w:rFonts w:cs="Calibri"/>
          <w:lang w:val="en-IN"/>
        </w:rPr>
      </w:pPr>
      <w:r w:rsidRPr="00002843">
        <w:rPr>
          <w:rFonts w:cs="Calibri"/>
          <w:lang w:val="en-IN"/>
        </w:rPr>
        <w:t xml:space="preserve">(d) </w:t>
      </w:r>
      <w:r w:rsidRPr="00F32EE9">
        <w:rPr>
          <w:rFonts w:cs="Calibri"/>
        </w:rPr>
        <w:t>Lease receivables of IRFC under Ind AS 116.</w:t>
      </w:r>
    </w:p>
    <w:p w14:paraId="043BCB4C" w14:textId="66727E80" w:rsidR="00002843" w:rsidRPr="00F32EE9" w:rsidRDefault="00002843" w:rsidP="00307D79">
      <w:pPr>
        <w:spacing w:after="0"/>
        <w:jc w:val="both"/>
        <w:rPr>
          <w:rFonts w:cs="Calibri"/>
          <w:lang w:val="en-IN"/>
        </w:rPr>
      </w:pPr>
      <w:r w:rsidRPr="00002843">
        <w:rPr>
          <w:rFonts w:cs="Calibri"/>
          <w:lang w:val="en-IN"/>
        </w:rPr>
        <w:t xml:space="preserve">(e) </w:t>
      </w:r>
      <w:r w:rsidRPr="00F32EE9">
        <w:rPr>
          <w:rFonts w:cs="Calibri"/>
        </w:rPr>
        <w:t>Loan commitments of IRFC which are not measured as at FVTPL.</w:t>
      </w:r>
    </w:p>
    <w:p w14:paraId="1413F2D6" w14:textId="7B04BDFC" w:rsidR="00002843" w:rsidRPr="00F32EE9" w:rsidRDefault="00002843" w:rsidP="00307D79">
      <w:pPr>
        <w:spacing w:after="0"/>
        <w:jc w:val="both"/>
        <w:rPr>
          <w:rFonts w:cs="Calibri"/>
          <w:lang w:val="en-IN"/>
        </w:rPr>
      </w:pPr>
      <w:r w:rsidRPr="00002843">
        <w:rPr>
          <w:rFonts w:cs="Calibri"/>
          <w:lang w:val="en-IN"/>
        </w:rPr>
        <w:t xml:space="preserve">(f) </w:t>
      </w:r>
      <w:r w:rsidRPr="00F32EE9">
        <w:rPr>
          <w:rFonts w:cs="Calibri"/>
        </w:rPr>
        <w:t>Financial guarantee contracts of IRFC which are not measured as at FVTPL.</w:t>
      </w:r>
    </w:p>
    <w:p w14:paraId="736217C8" w14:textId="77777777" w:rsidR="00002843" w:rsidRPr="00002843" w:rsidRDefault="00002843" w:rsidP="00307D79">
      <w:pPr>
        <w:spacing w:after="0"/>
        <w:jc w:val="both"/>
        <w:rPr>
          <w:rFonts w:cs="Calibri"/>
          <w:lang w:val="en-IN"/>
        </w:rPr>
      </w:pPr>
    </w:p>
    <w:p w14:paraId="2759885D" w14:textId="37FBF305" w:rsidR="00F64036" w:rsidRPr="00F32EE9" w:rsidRDefault="00002843" w:rsidP="00307D79">
      <w:pPr>
        <w:spacing w:after="0"/>
        <w:jc w:val="both"/>
        <w:rPr>
          <w:rFonts w:cs="Calibri"/>
          <w:lang w:val="en-IN"/>
        </w:rPr>
      </w:pPr>
      <w:r w:rsidRPr="00002843">
        <w:rPr>
          <w:rFonts w:cs="Calibri"/>
          <w:lang w:val="en-IN"/>
        </w:rPr>
        <w:t xml:space="preserve">These portfolios fall within the scope of ECL </w:t>
      </w:r>
      <w:r w:rsidR="00307D79" w:rsidRPr="00F32EE9">
        <w:rPr>
          <w:rFonts w:cs="Calibri"/>
          <w:lang w:val="en-IN"/>
        </w:rPr>
        <w:t>modelling</w:t>
      </w:r>
      <w:r w:rsidRPr="00002843">
        <w:rPr>
          <w:rFonts w:cs="Calibri"/>
          <w:lang w:val="en-IN"/>
        </w:rPr>
        <w:t xml:space="preserve"> and are subject to staging, PD/LGD/EAD estimation, and forward-looking adjustments. Equity investments, facilities, or instruments measured at FVTPL, and other exposures outside IND AS 109 do not require ECL computation.</w:t>
      </w:r>
    </w:p>
    <w:p w14:paraId="1563B947" w14:textId="77777777" w:rsidR="00002843" w:rsidRPr="00F32EE9" w:rsidRDefault="00002843" w:rsidP="00307D79">
      <w:pPr>
        <w:spacing w:after="0"/>
        <w:jc w:val="both"/>
        <w:rPr>
          <w:rFonts w:cs="Calibri"/>
          <w:lang w:val="en-IN"/>
        </w:rPr>
      </w:pPr>
    </w:p>
    <w:p w14:paraId="0C3E330E" w14:textId="2DC7A166" w:rsidR="009D2EA2" w:rsidRPr="00F32EE9" w:rsidRDefault="009D2EA2" w:rsidP="00307D79">
      <w:pPr>
        <w:spacing w:after="0"/>
        <w:jc w:val="both"/>
        <w:rPr>
          <w:rFonts w:cs="Calibri"/>
        </w:rPr>
      </w:pPr>
      <w:r w:rsidRPr="00F32EE9">
        <w:rPr>
          <w:rFonts w:cs="Calibri"/>
        </w:rPr>
        <w:t>In accordance with Ind AS 109, the Company applies expected credit loss (ECL) model for measurement and recognition of impairment loss on the following financial assets and credit risk exposure:</w:t>
      </w:r>
    </w:p>
    <w:p w14:paraId="61226469" w14:textId="0930FFEC" w:rsidR="00EE48D6" w:rsidRPr="00F32EE9" w:rsidRDefault="00C34FB3" w:rsidP="005A6AE3">
      <w:pPr>
        <w:pStyle w:val="Heading2"/>
        <w:numPr>
          <w:ilvl w:val="0"/>
          <w:numId w:val="14"/>
        </w:numPr>
        <w:ind w:left="360"/>
      </w:pPr>
      <w:bookmarkStart w:id="2" w:name="_Toc229058994"/>
      <w:r w:rsidRPr="00F32EE9">
        <w:t xml:space="preserve"> </w:t>
      </w:r>
      <w:r w:rsidR="00EE48D6" w:rsidRPr="00F32EE9">
        <w:t>Objective</w:t>
      </w:r>
      <w:bookmarkEnd w:id="2"/>
      <w:r w:rsidR="00EE48D6" w:rsidRPr="00F32EE9">
        <w:t xml:space="preserve"> </w:t>
      </w:r>
    </w:p>
    <w:p w14:paraId="10E891CC" w14:textId="2626D6B8" w:rsidR="00EE48D6" w:rsidRPr="00F32EE9" w:rsidRDefault="00EE48D6" w:rsidP="00EE48D6">
      <w:pPr>
        <w:spacing w:after="0"/>
        <w:jc w:val="both"/>
        <w:rPr>
          <w:rFonts w:cs="Calibri"/>
          <w:lang w:val="en-IN"/>
        </w:rPr>
      </w:pPr>
      <w:r w:rsidRPr="00F32EE9">
        <w:rPr>
          <w:rFonts w:cs="Calibri"/>
          <w:lang w:val="en-IN"/>
        </w:rPr>
        <w:t xml:space="preserve">The purpose of this document is to outline the methodology and framework adopted for the computation of </w:t>
      </w:r>
      <w:r w:rsidRPr="00F32EE9">
        <w:rPr>
          <w:rFonts w:cs="Calibri"/>
          <w:b/>
          <w:bCs/>
          <w:lang w:val="en-IN"/>
        </w:rPr>
        <w:t>Expected Credit Loss (ECL)</w:t>
      </w:r>
      <w:r w:rsidRPr="00F32EE9">
        <w:rPr>
          <w:rFonts w:cs="Calibri"/>
          <w:lang w:val="en-IN"/>
        </w:rPr>
        <w:t xml:space="preserve"> under </w:t>
      </w:r>
      <w:r w:rsidR="00F6674E" w:rsidRPr="00F32EE9">
        <w:rPr>
          <w:rFonts w:cs="Calibri"/>
          <w:b/>
          <w:bCs/>
          <w:lang w:val="en-IN"/>
        </w:rPr>
        <w:t>IND AS</w:t>
      </w:r>
      <w:r w:rsidRPr="00F32EE9">
        <w:rPr>
          <w:rFonts w:cs="Calibri"/>
          <w:b/>
          <w:bCs/>
          <w:lang w:val="en-IN"/>
        </w:rPr>
        <w:t xml:space="preserve"> </w:t>
      </w:r>
      <w:r w:rsidR="00F6674E" w:rsidRPr="00F32EE9">
        <w:rPr>
          <w:rFonts w:cs="Calibri"/>
          <w:b/>
          <w:bCs/>
          <w:lang w:val="en-IN"/>
        </w:rPr>
        <w:t>10</w:t>
      </w:r>
      <w:r w:rsidRPr="00F32EE9">
        <w:rPr>
          <w:rFonts w:cs="Calibri"/>
          <w:b/>
          <w:bCs/>
          <w:lang w:val="en-IN"/>
        </w:rPr>
        <w:t>9</w:t>
      </w:r>
      <w:r w:rsidRPr="00F32EE9">
        <w:rPr>
          <w:rFonts w:cs="Calibri"/>
          <w:lang w:val="en-IN"/>
        </w:rPr>
        <w:t xml:space="preserve"> for the portfolio. The standard classifies financial assets into </w:t>
      </w:r>
      <w:r w:rsidRPr="00F32EE9">
        <w:rPr>
          <w:rFonts w:cs="Calibri"/>
          <w:b/>
          <w:bCs/>
          <w:lang w:val="en-IN"/>
        </w:rPr>
        <w:t>three stages of impairment</w:t>
      </w:r>
      <w:r w:rsidRPr="00F32EE9">
        <w:rPr>
          <w:rFonts w:cs="Calibri"/>
          <w:lang w:val="en-IN"/>
        </w:rPr>
        <w:t xml:space="preserve"> based on changes in credit risk:</w:t>
      </w:r>
    </w:p>
    <w:p w14:paraId="452E029F" w14:textId="77777777" w:rsidR="00EE48D6" w:rsidRPr="00F32EE9" w:rsidRDefault="00EE48D6" w:rsidP="008D190E">
      <w:pPr>
        <w:numPr>
          <w:ilvl w:val="0"/>
          <w:numId w:val="7"/>
        </w:numPr>
        <w:tabs>
          <w:tab w:val="clear" w:pos="360"/>
          <w:tab w:val="num" w:pos="720"/>
        </w:tabs>
        <w:spacing w:after="0"/>
        <w:jc w:val="both"/>
        <w:rPr>
          <w:rFonts w:cs="Calibri"/>
          <w:lang w:val="en-IN"/>
        </w:rPr>
      </w:pPr>
      <w:r w:rsidRPr="00F32EE9">
        <w:rPr>
          <w:rFonts w:cs="Calibri"/>
          <w:b/>
          <w:bCs/>
          <w:lang w:val="en-IN"/>
        </w:rPr>
        <w:t>Stage 1</w:t>
      </w:r>
      <w:r w:rsidRPr="00F32EE9">
        <w:rPr>
          <w:rFonts w:cs="Calibri"/>
          <w:lang w:val="en-IN"/>
        </w:rPr>
        <w:t xml:space="preserve"> – Assets with </w:t>
      </w:r>
      <w:r w:rsidRPr="00F32EE9">
        <w:rPr>
          <w:rFonts w:cs="Calibri"/>
          <w:i/>
          <w:iCs/>
          <w:lang w:val="en-IN"/>
        </w:rPr>
        <w:t>no material increase in credit risk</w:t>
      </w:r>
      <w:r w:rsidRPr="00F32EE9">
        <w:rPr>
          <w:rFonts w:cs="Calibri"/>
          <w:lang w:val="en-IN"/>
        </w:rPr>
        <w:t xml:space="preserve"> since origination. These exposures are treated as </w:t>
      </w:r>
      <w:r w:rsidRPr="00F32EE9">
        <w:rPr>
          <w:rFonts w:cs="Calibri"/>
          <w:b/>
          <w:bCs/>
          <w:lang w:val="en-IN"/>
        </w:rPr>
        <w:t>performing</w:t>
      </w:r>
      <w:r w:rsidRPr="00F32EE9">
        <w:rPr>
          <w:rFonts w:cs="Calibri"/>
          <w:lang w:val="en-IN"/>
        </w:rPr>
        <w:t>.</w:t>
      </w:r>
    </w:p>
    <w:p w14:paraId="11275A7E" w14:textId="77777777" w:rsidR="00EE48D6" w:rsidRPr="00F32EE9" w:rsidRDefault="00EE48D6" w:rsidP="008D190E">
      <w:pPr>
        <w:numPr>
          <w:ilvl w:val="0"/>
          <w:numId w:val="7"/>
        </w:numPr>
        <w:tabs>
          <w:tab w:val="clear" w:pos="360"/>
          <w:tab w:val="num" w:pos="720"/>
        </w:tabs>
        <w:spacing w:after="0"/>
        <w:jc w:val="both"/>
        <w:rPr>
          <w:rFonts w:cs="Calibri"/>
          <w:lang w:val="en-IN"/>
        </w:rPr>
      </w:pPr>
      <w:r w:rsidRPr="00F32EE9">
        <w:rPr>
          <w:rFonts w:cs="Calibri"/>
          <w:b/>
          <w:bCs/>
          <w:lang w:val="en-IN"/>
        </w:rPr>
        <w:t>Stage 2</w:t>
      </w:r>
      <w:r w:rsidRPr="00F32EE9">
        <w:rPr>
          <w:rFonts w:cs="Calibri"/>
          <w:lang w:val="en-IN"/>
        </w:rPr>
        <w:t xml:space="preserve"> – Assets that have experienced a </w:t>
      </w:r>
      <w:r w:rsidRPr="00F32EE9">
        <w:rPr>
          <w:rFonts w:cs="Calibri"/>
          <w:i/>
          <w:iCs/>
          <w:lang w:val="en-IN"/>
        </w:rPr>
        <w:t>significant increase in credit risk (SICR)</w:t>
      </w:r>
      <w:r w:rsidRPr="00F32EE9">
        <w:rPr>
          <w:rFonts w:cs="Calibri"/>
          <w:lang w:val="en-IN"/>
        </w:rPr>
        <w:t xml:space="preserve">. Such exposures are regarded as </w:t>
      </w:r>
      <w:r w:rsidRPr="00F32EE9">
        <w:rPr>
          <w:rFonts w:cs="Calibri"/>
          <w:b/>
          <w:bCs/>
          <w:lang w:val="en-IN"/>
        </w:rPr>
        <w:t>under-performing</w:t>
      </w:r>
      <w:r w:rsidRPr="00F32EE9">
        <w:rPr>
          <w:rFonts w:cs="Calibri"/>
          <w:lang w:val="en-IN"/>
        </w:rPr>
        <w:t>.</w:t>
      </w:r>
    </w:p>
    <w:p w14:paraId="44293C3B" w14:textId="2A5E1BCF" w:rsidR="00231877" w:rsidRPr="00F32EE9" w:rsidRDefault="00EE48D6" w:rsidP="008D190E">
      <w:pPr>
        <w:numPr>
          <w:ilvl w:val="0"/>
          <w:numId w:val="7"/>
        </w:numPr>
        <w:tabs>
          <w:tab w:val="clear" w:pos="360"/>
          <w:tab w:val="num" w:pos="720"/>
        </w:tabs>
        <w:spacing w:after="0"/>
        <w:jc w:val="both"/>
        <w:rPr>
          <w:rFonts w:cs="Calibri"/>
          <w:lang w:val="en-IN"/>
        </w:rPr>
      </w:pPr>
      <w:r w:rsidRPr="00F32EE9">
        <w:rPr>
          <w:rFonts w:cs="Calibri"/>
          <w:b/>
          <w:bCs/>
          <w:lang w:val="en-IN"/>
        </w:rPr>
        <w:t>Stage 3</w:t>
      </w:r>
      <w:r w:rsidRPr="00F32EE9">
        <w:rPr>
          <w:rFonts w:cs="Calibri"/>
          <w:lang w:val="en-IN"/>
        </w:rPr>
        <w:t xml:space="preserve"> – Assets that are deemed </w:t>
      </w:r>
      <w:r w:rsidRPr="00F32EE9">
        <w:rPr>
          <w:rFonts w:cs="Calibri"/>
          <w:i/>
          <w:iCs/>
          <w:lang w:val="en-IN"/>
        </w:rPr>
        <w:t>credit-impaired</w:t>
      </w:r>
      <w:r w:rsidRPr="00F32EE9">
        <w:rPr>
          <w:rFonts w:cs="Calibri"/>
          <w:lang w:val="en-IN"/>
        </w:rPr>
        <w:t xml:space="preserve">. These exposures are categorized as </w:t>
      </w:r>
      <w:r w:rsidRPr="00F32EE9">
        <w:rPr>
          <w:rFonts w:cs="Calibri"/>
          <w:b/>
          <w:bCs/>
          <w:lang w:val="en-IN"/>
        </w:rPr>
        <w:t>non-performing</w:t>
      </w:r>
      <w:r w:rsidRPr="00F32EE9">
        <w:rPr>
          <w:rFonts w:cs="Calibri"/>
          <w:lang w:val="en-IN"/>
        </w:rPr>
        <w:t>.</w:t>
      </w:r>
    </w:p>
    <w:p w14:paraId="785DE9B2" w14:textId="77777777" w:rsidR="00931734" w:rsidRPr="00F32EE9" w:rsidRDefault="00931734" w:rsidP="00931734">
      <w:pPr>
        <w:tabs>
          <w:tab w:val="num" w:pos="720"/>
        </w:tabs>
        <w:spacing w:after="0"/>
        <w:jc w:val="both"/>
        <w:rPr>
          <w:rFonts w:cs="Calibri"/>
          <w:lang w:val="en-IN"/>
        </w:rPr>
      </w:pPr>
    </w:p>
    <w:p w14:paraId="69588F95" w14:textId="37516751" w:rsidR="00931734" w:rsidRPr="00F32EE9" w:rsidRDefault="00931734" w:rsidP="005A6AE3">
      <w:pPr>
        <w:pStyle w:val="Heading2"/>
        <w:numPr>
          <w:ilvl w:val="0"/>
          <w:numId w:val="14"/>
        </w:numPr>
        <w:ind w:left="360"/>
      </w:pPr>
      <w:bookmarkStart w:id="3" w:name="_Toc229058995"/>
      <w:r w:rsidRPr="00F32EE9">
        <w:t>Periodicity</w:t>
      </w:r>
      <w:bookmarkEnd w:id="3"/>
    </w:p>
    <w:p w14:paraId="5682829B" w14:textId="6B4C2530" w:rsidR="003A1893" w:rsidRPr="00F32EE9" w:rsidRDefault="003A1893" w:rsidP="00931734">
      <w:pPr>
        <w:tabs>
          <w:tab w:val="num" w:pos="720"/>
        </w:tabs>
        <w:spacing w:after="0"/>
        <w:jc w:val="both"/>
        <w:rPr>
          <w:rFonts w:cs="Calibri"/>
          <w:lang w:val="en-IN"/>
        </w:rPr>
      </w:pPr>
      <w:r w:rsidRPr="00F32EE9">
        <w:rPr>
          <w:rFonts w:cs="Calibri"/>
        </w:rPr>
        <w:t>ECL shall be computed on all the financial assets at each Reporting Date</w:t>
      </w:r>
    </w:p>
    <w:p w14:paraId="03AAE2AF" w14:textId="39D05A9D" w:rsidR="00044104" w:rsidRPr="00F32EE9" w:rsidRDefault="00C34FB3" w:rsidP="005A6AE3">
      <w:pPr>
        <w:pStyle w:val="Heading2"/>
        <w:numPr>
          <w:ilvl w:val="0"/>
          <w:numId w:val="14"/>
        </w:numPr>
        <w:ind w:left="360"/>
      </w:pPr>
      <w:bookmarkStart w:id="4" w:name="_Toc229058996"/>
      <w:r w:rsidRPr="00F32EE9">
        <w:t xml:space="preserve"> </w:t>
      </w:r>
      <w:r w:rsidR="00484FEE" w:rsidRPr="00F32EE9">
        <w:t xml:space="preserve">Policy </w:t>
      </w:r>
      <w:r w:rsidR="00231877" w:rsidRPr="00F32EE9">
        <w:t>Update and Approval</w:t>
      </w:r>
      <w:bookmarkEnd w:id="4"/>
      <w:r w:rsidR="00231877" w:rsidRPr="00F32EE9">
        <w:t xml:space="preserve"> </w:t>
      </w:r>
    </w:p>
    <w:p w14:paraId="7517C015" w14:textId="2DE5F741" w:rsidR="004D197C" w:rsidRPr="00F32EE9" w:rsidRDefault="004D197C" w:rsidP="009B19A0">
      <w:pPr>
        <w:pStyle w:val="NormalWeb"/>
        <w:spacing w:before="0" w:beforeAutospacing="0" w:after="0" w:afterAutospacing="0"/>
        <w:jc w:val="both"/>
        <w:rPr>
          <w:rFonts w:ascii="Calibri" w:hAnsi="Calibri" w:cs="Calibri"/>
          <w:sz w:val="22"/>
          <w:szCs w:val="22"/>
        </w:rPr>
      </w:pPr>
      <w:r w:rsidRPr="00F32EE9">
        <w:rPr>
          <w:rFonts w:ascii="Calibri" w:hAnsi="Calibri" w:cs="Calibri"/>
          <w:sz w:val="22"/>
          <w:szCs w:val="22"/>
        </w:rPr>
        <w:t xml:space="preserve">In compliance with the Reserve </w:t>
      </w:r>
      <w:r w:rsidR="00986A7A" w:rsidRPr="00F32EE9">
        <w:rPr>
          <w:rFonts w:ascii="Calibri" w:hAnsi="Calibri" w:cs="Calibri"/>
          <w:sz w:val="22"/>
          <w:szCs w:val="22"/>
        </w:rPr>
        <w:t>Bank</w:t>
      </w:r>
      <w:r w:rsidRPr="00F32EE9">
        <w:rPr>
          <w:rFonts w:ascii="Calibri" w:hAnsi="Calibri" w:cs="Calibri"/>
          <w:sz w:val="22"/>
          <w:szCs w:val="22"/>
        </w:rPr>
        <w:t xml:space="preserve"> of India’s (RBI) mandate requiring the </w:t>
      </w:r>
      <w:r w:rsidRPr="00F32EE9">
        <w:rPr>
          <w:rFonts w:ascii="Calibri" w:hAnsi="Calibri" w:cs="Calibri"/>
          <w:b/>
          <w:bCs/>
          <w:sz w:val="22"/>
          <w:szCs w:val="22"/>
        </w:rPr>
        <w:t>Board of Directors</w:t>
      </w:r>
      <w:r w:rsidRPr="00F32EE9">
        <w:rPr>
          <w:rFonts w:ascii="Calibri" w:hAnsi="Calibri" w:cs="Calibri"/>
          <w:sz w:val="22"/>
          <w:szCs w:val="22"/>
        </w:rPr>
        <w:t xml:space="preserve"> to approve robust methodologies for the computation of </w:t>
      </w:r>
      <w:r w:rsidRPr="00F32EE9">
        <w:rPr>
          <w:rFonts w:ascii="Calibri" w:hAnsi="Calibri" w:cs="Calibri"/>
          <w:b/>
          <w:bCs/>
          <w:sz w:val="22"/>
          <w:szCs w:val="22"/>
        </w:rPr>
        <w:t>Expected Credit Losses (ECL)</w:t>
      </w:r>
      <w:r w:rsidRPr="00F32EE9">
        <w:rPr>
          <w:rFonts w:ascii="Calibri" w:hAnsi="Calibri" w:cs="Calibri"/>
          <w:sz w:val="22"/>
          <w:szCs w:val="22"/>
        </w:rPr>
        <w:t xml:space="preserve">, this Policy establishes the framework covering the </w:t>
      </w:r>
      <w:r w:rsidRPr="00F32EE9">
        <w:rPr>
          <w:rFonts w:ascii="Calibri" w:hAnsi="Calibri" w:cs="Calibri"/>
          <w:sz w:val="22"/>
          <w:szCs w:val="22"/>
        </w:rPr>
        <w:lastRenderedPageBreak/>
        <w:t>policies</w:t>
      </w:r>
      <w:r w:rsidR="001B47D6" w:rsidRPr="00F32EE9">
        <w:rPr>
          <w:rFonts w:ascii="Calibri" w:hAnsi="Calibri" w:cs="Calibri"/>
          <w:sz w:val="22"/>
          <w:szCs w:val="22"/>
        </w:rPr>
        <w:t xml:space="preserve"> and</w:t>
      </w:r>
      <w:r w:rsidRPr="00F32EE9">
        <w:rPr>
          <w:rFonts w:ascii="Calibri" w:hAnsi="Calibri" w:cs="Calibri"/>
          <w:sz w:val="22"/>
          <w:szCs w:val="22"/>
        </w:rPr>
        <w:t xml:space="preserve"> procedures necessary for assessing and measuring credit risk across all lending exposures. The approach is aligned to the </w:t>
      </w:r>
      <w:r w:rsidR="00672254" w:rsidRPr="00F32EE9">
        <w:rPr>
          <w:rFonts w:ascii="Calibri" w:hAnsi="Calibri" w:cs="Calibri"/>
          <w:sz w:val="22"/>
          <w:szCs w:val="22"/>
        </w:rPr>
        <w:t>Company's</w:t>
      </w:r>
      <w:r w:rsidRPr="00F32EE9">
        <w:rPr>
          <w:rFonts w:ascii="Calibri" w:hAnsi="Calibri" w:cs="Calibri"/>
          <w:sz w:val="22"/>
          <w:szCs w:val="22"/>
        </w:rPr>
        <w:t xml:space="preserve"> size, business model, complexity, and overall risk profile, as applicable to an NBFC.</w:t>
      </w:r>
    </w:p>
    <w:p w14:paraId="5B3E826E" w14:textId="77777777" w:rsidR="009B19A0" w:rsidRPr="00F32EE9" w:rsidRDefault="009B19A0" w:rsidP="009B19A0">
      <w:pPr>
        <w:pStyle w:val="NormalWeb"/>
        <w:spacing w:before="0" w:beforeAutospacing="0" w:after="0" w:afterAutospacing="0"/>
        <w:jc w:val="both"/>
        <w:rPr>
          <w:rFonts w:ascii="Calibri" w:hAnsi="Calibri" w:cs="Calibri"/>
          <w:sz w:val="22"/>
          <w:szCs w:val="22"/>
        </w:rPr>
      </w:pPr>
    </w:p>
    <w:p w14:paraId="0D769063" w14:textId="7A7208C9" w:rsidR="009B19A0" w:rsidRPr="00F32EE9" w:rsidRDefault="004D197C" w:rsidP="00BC4C28">
      <w:pPr>
        <w:pStyle w:val="NormalWeb"/>
        <w:spacing w:before="0" w:beforeAutospacing="0" w:after="0" w:afterAutospacing="0"/>
        <w:jc w:val="both"/>
        <w:rPr>
          <w:rFonts w:ascii="Calibri" w:hAnsi="Calibri" w:cs="Calibri"/>
          <w:sz w:val="22"/>
          <w:szCs w:val="22"/>
        </w:rPr>
      </w:pPr>
      <w:r w:rsidRPr="00F32EE9">
        <w:rPr>
          <w:rFonts w:ascii="Calibri" w:hAnsi="Calibri" w:cs="Calibri"/>
          <w:sz w:val="22"/>
          <w:szCs w:val="22"/>
        </w:rPr>
        <w:t xml:space="preserve">This Policy shall undergo a review </w:t>
      </w:r>
      <w:r w:rsidRPr="00F32EE9">
        <w:rPr>
          <w:rFonts w:ascii="Calibri" w:hAnsi="Calibri" w:cs="Calibri"/>
          <w:b/>
          <w:bCs/>
          <w:sz w:val="22"/>
          <w:szCs w:val="22"/>
        </w:rPr>
        <w:t>at least once every year</w:t>
      </w:r>
      <w:r w:rsidRPr="00F32EE9">
        <w:rPr>
          <w:rFonts w:ascii="Calibri" w:hAnsi="Calibri" w:cs="Calibri"/>
          <w:sz w:val="22"/>
          <w:szCs w:val="22"/>
        </w:rPr>
        <w:t>, or more frequently if warranted. The review process will ensure alignment with evolving regulatory guidelines on ECL, incorporate advancements in ECL methodologies, and reflect changes arising from the Company’s business environment, organizational structure, or any other relevant requirements.</w:t>
      </w:r>
    </w:p>
    <w:p w14:paraId="2B7FA775" w14:textId="77777777" w:rsidR="002453A9" w:rsidRPr="00F32EE9" w:rsidRDefault="002453A9" w:rsidP="00BC4C28">
      <w:pPr>
        <w:pStyle w:val="NormalWeb"/>
        <w:spacing w:before="0" w:beforeAutospacing="0" w:after="0" w:afterAutospacing="0"/>
        <w:jc w:val="both"/>
        <w:rPr>
          <w:rFonts w:ascii="Calibri" w:hAnsi="Calibri" w:cs="Calibri"/>
          <w:sz w:val="22"/>
          <w:szCs w:val="22"/>
        </w:rPr>
      </w:pPr>
    </w:p>
    <w:p w14:paraId="1A1D35A5" w14:textId="498F6E86" w:rsidR="00DF79EA" w:rsidRPr="00F32EE9" w:rsidRDefault="00B361F8" w:rsidP="005A6AE3">
      <w:pPr>
        <w:pStyle w:val="Heading1"/>
        <w:numPr>
          <w:ilvl w:val="0"/>
          <w:numId w:val="19"/>
        </w:numPr>
      </w:pPr>
      <w:bookmarkStart w:id="5" w:name="_Toc229058997"/>
      <w:r w:rsidRPr="00F32EE9">
        <w:t>I</w:t>
      </w:r>
      <w:r w:rsidR="00F6674E" w:rsidRPr="00F32EE9">
        <w:t>ND AS 10</w:t>
      </w:r>
      <w:r w:rsidRPr="00F32EE9">
        <w:t>9 Overview</w:t>
      </w:r>
      <w:bookmarkEnd w:id="5"/>
      <w:r w:rsidRPr="00F32EE9">
        <w:t xml:space="preserve"> </w:t>
      </w:r>
    </w:p>
    <w:p w14:paraId="6D9FB78E" w14:textId="4DEEBE3C" w:rsidR="00DF79EA" w:rsidRPr="00F32EE9" w:rsidRDefault="00B361F8" w:rsidP="005A6AE3">
      <w:pPr>
        <w:pStyle w:val="Heading2"/>
        <w:numPr>
          <w:ilvl w:val="0"/>
          <w:numId w:val="15"/>
        </w:numPr>
        <w:tabs>
          <w:tab w:val="left" w:pos="540"/>
        </w:tabs>
        <w:ind w:left="0" w:firstLine="0"/>
      </w:pPr>
      <w:bookmarkStart w:id="6" w:name="_Toc229058998"/>
      <w:r w:rsidRPr="00F32EE9">
        <w:t>ECL Introduction</w:t>
      </w:r>
      <w:bookmarkEnd w:id="6"/>
      <w:r w:rsidRPr="00F32EE9">
        <w:t xml:space="preserve"> </w:t>
      </w:r>
    </w:p>
    <w:p w14:paraId="58E1270D" w14:textId="1930E281" w:rsidR="00E55E1B" w:rsidRPr="00F32EE9" w:rsidRDefault="00E55E1B" w:rsidP="00E55E1B">
      <w:pPr>
        <w:jc w:val="both"/>
        <w:rPr>
          <w:rFonts w:cs="Calibri"/>
        </w:rPr>
      </w:pPr>
      <w:r w:rsidRPr="00F32EE9">
        <w:rPr>
          <w:rFonts w:cs="Calibri"/>
        </w:rPr>
        <w:t>The implementation of the Expected Credit Loss (ECL) framework under I</w:t>
      </w:r>
      <w:r w:rsidR="00F6674E" w:rsidRPr="00F32EE9">
        <w:rPr>
          <w:rFonts w:cs="Calibri"/>
        </w:rPr>
        <w:t>ND AS 109</w:t>
      </w:r>
      <w:r w:rsidRPr="00F32EE9">
        <w:rPr>
          <w:rFonts w:cs="Calibri"/>
        </w:rPr>
        <w:t xml:space="preserve"> requires financial institutions to shift from an incurred loss model to a forward-looking approach for recognizing credit losses.</w:t>
      </w:r>
    </w:p>
    <w:p w14:paraId="4C757C05" w14:textId="71F67F52" w:rsidR="00E55E1B" w:rsidRPr="00F32EE9" w:rsidRDefault="00E55E1B" w:rsidP="00E55E1B">
      <w:pPr>
        <w:jc w:val="both"/>
        <w:rPr>
          <w:rFonts w:cs="Calibri"/>
        </w:rPr>
      </w:pPr>
      <w:r w:rsidRPr="00F32EE9">
        <w:rPr>
          <w:rFonts w:cs="Calibri"/>
        </w:rPr>
        <w:t xml:space="preserve">The </w:t>
      </w:r>
      <w:r w:rsidR="001865C2" w:rsidRPr="00F32EE9">
        <w:rPr>
          <w:rFonts w:cs="Calibri"/>
        </w:rPr>
        <w:t>Company</w:t>
      </w:r>
      <w:r w:rsidRPr="00F32EE9">
        <w:rPr>
          <w:rFonts w:cs="Calibri"/>
        </w:rPr>
        <w:t xml:space="preserve"> has adopted the general approach to </w:t>
      </w:r>
      <w:r w:rsidR="002A0501" w:rsidRPr="00F32EE9">
        <w:rPr>
          <w:rFonts w:cs="Calibri"/>
        </w:rPr>
        <w:t>calculating</w:t>
      </w:r>
      <w:r w:rsidRPr="00F32EE9">
        <w:rPr>
          <w:rFonts w:cs="Calibri"/>
        </w:rPr>
        <w:t xml:space="preserve"> expected credit loss (ECL). The ECL amount will be computed as the unbiased and probability-weighted estimate of credit losses (i.e. present value of all cash shortfalls) over the expected life of the financial asset. Credit losses under the general approach shall be computed from individual risk parameters</w:t>
      </w:r>
      <w:r w:rsidR="00E560C1" w:rsidRPr="00F32EE9">
        <w:rPr>
          <w:rFonts w:cs="Calibri"/>
        </w:rPr>
        <w:t>,</w:t>
      </w:r>
      <w:r w:rsidRPr="00F32EE9">
        <w:rPr>
          <w:rFonts w:cs="Calibri"/>
        </w:rPr>
        <w:t xml:space="preserve"> i.e. probability of default (PD), loss given default (LGD)</w:t>
      </w:r>
      <w:r w:rsidR="00E560C1" w:rsidRPr="00F32EE9">
        <w:rPr>
          <w:rFonts w:cs="Calibri"/>
        </w:rPr>
        <w:t>,</w:t>
      </w:r>
      <w:r w:rsidRPr="00F32EE9">
        <w:rPr>
          <w:rFonts w:cs="Calibri"/>
        </w:rPr>
        <w:t xml:space="preserve"> and exposure at default (EAD). Detailed estimation methodology of these parameters is provided in subsequent sections of this policy document. The guiding principle of the ECL model is to reflect the general pattern of changes in the credit quality of a financial instrument. </w:t>
      </w:r>
    </w:p>
    <w:p w14:paraId="269F0434" w14:textId="2965F80A" w:rsidR="00E55E1B" w:rsidRPr="00F32EE9" w:rsidRDefault="00E55E1B" w:rsidP="00E55E1B">
      <w:pPr>
        <w:jc w:val="both"/>
        <w:rPr>
          <w:rFonts w:cs="Calibri"/>
        </w:rPr>
      </w:pPr>
      <w:r w:rsidRPr="00F32EE9">
        <w:rPr>
          <w:rFonts w:cs="Calibri"/>
        </w:rPr>
        <w:t xml:space="preserve">The objective of calculating impairment through the ECL model is to recognize </w:t>
      </w:r>
      <w:r w:rsidR="00E560C1" w:rsidRPr="00F32EE9">
        <w:rPr>
          <w:rFonts w:cs="Calibri"/>
        </w:rPr>
        <w:t>12-month</w:t>
      </w:r>
      <w:r w:rsidRPr="00F32EE9">
        <w:rPr>
          <w:rFonts w:cs="Calibri"/>
        </w:rPr>
        <w:t xml:space="preserve"> expected credit losses for financial instruments which</w:t>
      </w:r>
      <w:r w:rsidR="00E560C1" w:rsidRPr="00F32EE9">
        <w:rPr>
          <w:rFonts w:cs="Calibri"/>
        </w:rPr>
        <w:t xml:space="preserve"> </w:t>
      </w:r>
      <w:r w:rsidRPr="00F32EE9">
        <w:rPr>
          <w:rFonts w:cs="Calibri"/>
        </w:rPr>
        <w:t>exhibit stable credit quality (Stage 1) and lifetime expected credit losses for financial instruments for which there has been a significant increase in credit quality since initial recognition (Stage 2 and Stage 3).</w:t>
      </w:r>
    </w:p>
    <w:p w14:paraId="4A7BD838" w14:textId="39450827" w:rsidR="009756E4" w:rsidRPr="00F32EE9" w:rsidRDefault="00D1459E" w:rsidP="005A6AE3">
      <w:pPr>
        <w:pStyle w:val="Heading2"/>
        <w:numPr>
          <w:ilvl w:val="0"/>
          <w:numId w:val="15"/>
        </w:numPr>
        <w:tabs>
          <w:tab w:val="left" w:pos="540"/>
        </w:tabs>
        <w:ind w:left="180" w:hanging="180"/>
      </w:pPr>
      <w:bookmarkStart w:id="7" w:name="_Toc229058999"/>
      <w:r w:rsidRPr="00F32EE9">
        <w:t>Significant Increase in Credit Risk</w:t>
      </w:r>
      <w:bookmarkEnd w:id="7"/>
      <w:r w:rsidRPr="00F32EE9">
        <w:t xml:space="preserve"> </w:t>
      </w:r>
    </w:p>
    <w:p w14:paraId="07E32422" w14:textId="28CE7813" w:rsidR="00D1459E" w:rsidRPr="00F32EE9" w:rsidRDefault="00D1459E" w:rsidP="006A2F20">
      <w:pPr>
        <w:pStyle w:val="BodyText"/>
        <w:spacing w:before="287"/>
        <w:jc w:val="both"/>
        <w:rPr>
          <w:rFonts w:cs="Calibri"/>
        </w:rPr>
      </w:pPr>
      <w:r w:rsidRPr="00F32EE9">
        <w:rPr>
          <w:rFonts w:cs="Calibri"/>
        </w:rPr>
        <w:t>In accordance with I</w:t>
      </w:r>
      <w:r w:rsidR="00D875B2" w:rsidRPr="00F32EE9">
        <w:rPr>
          <w:rFonts w:cs="Calibri"/>
        </w:rPr>
        <w:t>nd</w:t>
      </w:r>
      <w:r w:rsidR="00F6674E" w:rsidRPr="00F32EE9">
        <w:rPr>
          <w:rFonts w:cs="Calibri"/>
        </w:rPr>
        <w:t xml:space="preserve"> AS 10</w:t>
      </w:r>
      <w:r w:rsidRPr="00F32EE9">
        <w:rPr>
          <w:rFonts w:cs="Calibri"/>
        </w:rPr>
        <w:t>9, an entity must recognize an allowance based on either 12-month Expected Credit Loss (ECL) or lifetime ECL, depending on whether a Significant Increase in Credit Risk (SICR) has occurred since initial recognition.</w:t>
      </w:r>
    </w:p>
    <w:p w14:paraId="0C579A6B" w14:textId="6FA435EB" w:rsidR="00D1459E" w:rsidRPr="00F32EE9" w:rsidRDefault="00D1459E" w:rsidP="006A2F20">
      <w:pPr>
        <w:pStyle w:val="BodyText"/>
        <w:spacing w:before="287"/>
        <w:jc w:val="both"/>
        <w:rPr>
          <w:rFonts w:cs="Calibri"/>
        </w:rPr>
      </w:pPr>
      <w:r w:rsidRPr="00F32EE9">
        <w:rPr>
          <w:rFonts w:cs="Calibri"/>
        </w:rPr>
        <w:t>The determination of SICR must be conducted at each reporting date and should be performed at the instrument level, rather than at the counterparty level. This is because the degree of credit risk movement can vary across different instruments, even when they are associated with the same borrower. Furthermore, instruments issued by a single counterparty may have reflected different levels of credit risk at the time of origination.</w:t>
      </w:r>
    </w:p>
    <w:p w14:paraId="531E1920" w14:textId="77777777" w:rsidR="00681797" w:rsidRPr="00F32EE9" w:rsidRDefault="00681797" w:rsidP="00681797">
      <w:pPr>
        <w:spacing w:before="80" w:after="80" w:line="288" w:lineRule="auto"/>
      </w:pPr>
      <w:r w:rsidRPr="00F32EE9">
        <w:t>The assessment shall consider the following:</w:t>
      </w:r>
    </w:p>
    <w:p w14:paraId="44B6C0C2" w14:textId="77777777" w:rsidR="00681797" w:rsidRPr="00F32EE9" w:rsidRDefault="00681797" w:rsidP="005A6AE3">
      <w:pPr>
        <w:pStyle w:val="ListParagraph"/>
        <w:numPr>
          <w:ilvl w:val="0"/>
          <w:numId w:val="21"/>
        </w:numPr>
        <w:spacing w:before="60" w:after="60"/>
        <w:contextualSpacing w:val="0"/>
      </w:pPr>
      <w:r w:rsidRPr="00F32EE9">
        <w:t>Changes in internal or external credit ratings</w:t>
      </w:r>
    </w:p>
    <w:p w14:paraId="320DAE0A" w14:textId="77777777" w:rsidR="00681797" w:rsidRPr="00F32EE9" w:rsidRDefault="00681797" w:rsidP="005A6AE3">
      <w:pPr>
        <w:pStyle w:val="ListParagraph"/>
        <w:numPr>
          <w:ilvl w:val="0"/>
          <w:numId w:val="21"/>
        </w:numPr>
        <w:spacing w:before="60" w:after="60"/>
        <w:contextualSpacing w:val="0"/>
      </w:pPr>
      <w:r w:rsidRPr="00F32EE9">
        <w:t>Actual or expected significant changes in the borrower's financial results</w:t>
      </w:r>
    </w:p>
    <w:p w14:paraId="51DA8E1F" w14:textId="102BEC6D" w:rsidR="00681797" w:rsidRPr="00F32EE9" w:rsidRDefault="00681797" w:rsidP="005A6AE3">
      <w:pPr>
        <w:pStyle w:val="ListParagraph"/>
        <w:numPr>
          <w:ilvl w:val="0"/>
          <w:numId w:val="21"/>
        </w:numPr>
        <w:spacing w:before="60" w:after="60"/>
        <w:contextualSpacing w:val="0"/>
      </w:pPr>
      <w:r w:rsidRPr="00F32EE9">
        <w:t>Significant changes in the expected performance and behavior of the borrower</w:t>
      </w:r>
    </w:p>
    <w:p w14:paraId="488B28F5" w14:textId="77777777" w:rsidR="00681797" w:rsidRPr="00F32EE9" w:rsidRDefault="00681797" w:rsidP="005A6AE3">
      <w:pPr>
        <w:pStyle w:val="ListParagraph"/>
        <w:numPr>
          <w:ilvl w:val="0"/>
          <w:numId w:val="21"/>
        </w:numPr>
        <w:spacing w:before="60" w:after="60"/>
        <w:contextualSpacing w:val="0"/>
      </w:pPr>
      <w:r w:rsidRPr="00F32EE9">
        <w:t>Changes in the economic, regulatory, or technological environment of the borrower</w:t>
      </w:r>
    </w:p>
    <w:p w14:paraId="12720AA2" w14:textId="209A0A89" w:rsidR="00EF2BB8" w:rsidRPr="00F32EE9" w:rsidRDefault="00681797" w:rsidP="005A6AE3">
      <w:pPr>
        <w:pStyle w:val="ListParagraph"/>
        <w:numPr>
          <w:ilvl w:val="0"/>
          <w:numId w:val="21"/>
        </w:numPr>
        <w:spacing w:before="60" w:after="60"/>
        <w:contextualSpacing w:val="0"/>
      </w:pPr>
      <w:r w:rsidRPr="00F32EE9">
        <w:t>Past-due information (days past due — DPD)</w:t>
      </w:r>
    </w:p>
    <w:p w14:paraId="131E746E" w14:textId="1B8578E7" w:rsidR="00DF79EA" w:rsidRPr="00F32EE9" w:rsidRDefault="0066199E" w:rsidP="00CB6810">
      <w:pPr>
        <w:pStyle w:val="BodyText"/>
        <w:spacing w:before="287"/>
        <w:jc w:val="both"/>
        <w:rPr>
          <w:rFonts w:cs="Calibri"/>
        </w:rPr>
      </w:pPr>
      <w:r w:rsidRPr="00F32EE9">
        <w:rPr>
          <w:rFonts w:cs="Calibri"/>
        </w:rPr>
        <w:lastRenderedPageBreak/>
        <w:t>For rated borrowers, a downgrade of two or more notches in the internal or external credit rating relative to the rating at initial recognition is deemed to be a primary indicator of significant credit deterioration and shall necessitate classification as Stage 2.</w:t>
      </w:r>
      <w:r w:rsidR="00DC4DBA" w:rsidRPr="00F32EE9">
        <w:rPr>
          <w:rFonts w:cs="Calibri"/>
        </w:rPr>
        <w:t xml:space="preserve"> Consistent with this principle, </w:t>
      </w:r>
      <w:r w:rsidR="005F1CBA" w:rsidRPr="00F32EE9">
        <w:rPr>
          <w:rFonts w:cs="Calibri"/>
        </w:rPr>
        <w:t>12-month ECL will be calculated for all stage 1 exposures</w:t>
      </w:r>
      <w:r w:rsidR="00E560C1" w:rsidRPr="00F32EE9">
        <w:rPr>
          <w:rFonts w:cs="Calibri"/>
        </w:rPr>
        <w:t>,</w:t>
      </w:r>
      <w:r w:rsidR="005F1CBA" w:rsidRPr="00F32EE9">
        <w:rPr>
          <w:rFonts w:cs="Calibri"/>
        </w:rPr>
        <w:t xml:space="preserve"> and lifetime ECLs will be calculated for all stage 2 and stage 3 exposures. This treatment is applicable to all financial instruments, regardless of whether their maturity is shorter or longer than one year.</w:t>
      </w:r>
    </w:p>
    <w:p w14:paraId="1E98539E" w14:textId="77777777" w:rsidR="00522828" w:rsidRPr="00F32EE9" w:rsidRDefault="00522828" w:rsidP="006A2F20">
      <w:pPr>
        <w:jc w:val="both"/>
        <w:rPr>
          <w:rFonts w:cs="Calibri"/>
        </w:rPr>
      </w:pPr>
    </w:p>
    <w:p w14:paraId="25965D41" w14:textId="77777777" w:rsidR="00522828" w:rsidRPr="00F32EE9" w:rsidRDefault="00522828" w:rsidP="006A2F20">
      <w:pPr>
        <w:jc w:val="both"/>
        <w:rPr>
          <w:rFonts w:cs="Calibri"/>
        </w:rPr>
      </w:pPr>
    </w:p>
    <w:p w14:paraId="6E98EF2B" w14:textId="77777777" w:rsidR="004C6003" w:rsidRPr="00F32EE9" w:rsidRDefault="004C6003" w:rsidP="006A2F20">
      <w:pPr>
        <w:jc w:val="both"/>
        <w:rPr>
          <w:rFonts w:cs="Calibri"/>
        </w:rPr>
      </w:pPr>
    </w:p>
    <w:p w14:paraId="6C3FA674" w14:textId="77777777" w:rsidR="004C6003" w:rsidRPr="00F32EE9" w:rsidRDefault="004C6003" w:rsidP="006A2F20">
      <w:pPr>
        <w:jc w:val="both"/>
        <w:rPr>
          <w:rFonts w:cs="Calibri"/>
        </w:rPr>
      </w:pPr>
    </w:p>
    <w:p w14:paraId="37EFC01A" w14:textId="06CECD82" w:rsidR="007C59C8" w:rsidRPr="00F32EE9" w:rsidRDefault="00D140EE" w:rsidP="007C59C8">
      <w:pPr>
        <w:rPr>
          <w:rFonts w:cs="Calibri"/>
        </w:rPr>
      </w:pPr>
      <w:r w:rsidRPr="00F32EE9">
        <w:rPr>
          <w:rFonts w:cs="Calibri"/>
          <w:noProof/>
        </w:rPr>
        <mc:AlternateContent>
          <mc:Choice Requires="wpg">
            <w:drawing>
              <wp:anchor distT="0" distB="0" distL="114300" distR="114300" simplePos="0" relativeHeight="251658242" behindDoc="0" locked="0" layoutInCell="1" allowOverlap="1" wp14:anchorId="46AEB99C" wp14:editId="57C78128">
                <wp:simplePos x="0" y="0"/>
                <wp:positionH relativeFrom="column">
                  <wp:posOffset>13171</wp:posOffset>
                </wp:positionH>
                <wp:positionV relativeFrom="paragraph">
                  <wp:posOffset>167073</wp:posOffset>
                </wp:positionV>
                <wp:extent cx="6760075" cy="1907471"/>
                <wp:effectExtent l="0" t="0" r="22225" b="17145"/>
                <wp:wrapNone/>
                <wp:docPr id="39770143" name="Group 33">
                  <a:extLst xmlns:a="http://schemas.openxmlformats.org/drawingml/2006/main">
                    <a:ext uri="{FF2B5EF4-FFF2-40B4-BE49-F238E27FC236}">
                      <a16:creationId xmlns:a16="http://schemas.microsoft.com/office/drawing/2014/main" id="{7D070ACC-CA20-FE91-5D3C-53E9DF9C2A59}"/>
                    </a:ext>
                  </a:extLst>
                </wp:docPr>
                <wp:cNvGraphicFramePr/>
                <a:graphic xmlns:a="http://schemas.openxmlformats.org/drawingml/2006/main">
                  <a:graphicData uri="http://schemas.microsoft.com/office/word/2010/wordprocessingGroup">
                    <wpg:wgp>
                      <wpg:cNvGrpSpPr/>
                      <wpg:grpSpPr>
                        <a:xfrm>
                          <a:off x="0" y="0"/>
                          <a:ext cx="6760075" cy="1907471"/>
                          <a:chOff x="99846" y="70053"/>
                          <a:chExt cx="8752114" cy="2443804"/>
                        </a:xfrm>
                      </wpg:grpSpPr>
                      <wps:wsp>
                        <wps:cNvPr id="1111043799" name="Rectangle 1111043799"/>
                        <wps:cNvSpPr/>
                        <wps:spPr>
                          <a:xfrm>
                            <a:off x="99846" y="1092329"/>
                            <a:ext cx="2002972" cy="1421528"/>
                          </a:xfrm>
                          <a:prstGeom prst="rect">
                            <a:avLst/>
                          </a:prstGeom>
                          <a:solidFill>
                            <a:srgbClr val="333399"/>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6E43168A" w14:textId="77777777" w:rsidR="00B71A7E" w:rsidRPr="00B71A7E" w:rsidRDefault="00063424" w:rsidP="00093F45">
                              <w:pPr>
                                <w:jc w:val="both"/>
                                <w:rPr>
                                  <w:rFonts w:cs="Calibri"/>
                                  <w:color w:val="FFFFFF"/>
                                  <w:kern w:val="24"/>
                                  <w:sz w:val="16"/>
                                  <w:szCs w:val="16"/>
                                </w:rPr>
                              </w:pPr>
                              <w:r w:rsidRPr="00B71A7E">
                                <w:rPr>
                                  <w:rFonts w:cs="Calibri"/>
                                  <w:color w:val="FFFFFF"/>
                                  <w:kern w:val="24"/>
                                  <w:sz w:val="16"/>
                                  <w:szCs w:val="16"/>
                                </w:rPr>
                                <w:t>No significant increase in credit risk since initial recognition</w:t>
                              </w:r>
                            </w:p>
                            <w:p w14:paraId="7619F2A3" w14:textId="74A4B866" w:rsidR="00063424" w:rsidRPr="00B71A7E" w:rsidRDefault="00063424" w:rsidP="00093F45">
                              <w:pPr>
                                <w:jc w:val="both"/>
                                <w:rPr>
                                  <w:rFonts w:cs="Calibri"/>
                                  <w:color w:val="FFFFFF"/>
                                  <w:kern w:val="24"/>
                                  <w:sz w:val="16"/>
                                  <w:szCs w:val="16"/>
                                </w:rPr>
                              </w:pPr>
                              <w:r w:rsidRPr="00B71A7E">
                                <w:rPr>
                                  <w:rFonts w:cs="Calibri"/>
                                  <w:color w:val="FFFFFF"/>
                                  <w:kern w:val="24"/>
                                  <w:sz w:val="16"/>
                                  <w:szCs w:val="16"/>
                                </w:rPr>
                                <w:t>All performing assets are assigned to Stage 1 at initial recognition</w:t>
                              </w:r>
                            </w:p>
                            <w:p w14:paraId="5C7E45A8" w14:textId="77777777" w:rsidR="00063424" w:rsidRPr="00B71A7E" w:rsidRDefault="00063424" w:rsidP="00093F45">
                              <w:pPr>
                                <w:jc w:val="both"/>
                                <w:rPr>
                                  <w:rFonts w:cs="Calibri"/>
                                  <w:color w:val="FFFFFF"/>
                                  <w:kern w:val="24"/>
                                  <w:sz w:val="16"/>
                                  <w:szCs w:val="16"/>
                                </w:rPr>
                              </w:pPr>
                              <w:r w:rsidRPr="00B71A7E">
                                <w:rPr>
                                  <w:rFonts w:cs="Calibri"/>
                                  <w:color w:val="FFFFFF"/>
                                  <w:kern w:val="24"/>
                                  <w:sz w:val="16"/>
                                  <w:szCs w:val="16"/>
                                </w:rPr>
                                <w:t>12-month ECL</w:t>
                              </w:r>
                            </w:p>
                          </w:txbxContent>
                        </wps:txbx>
                        <wps:bodyPr rtlCol="0" anchor="ctr"/>
                      </wps:wsp>
                      <wps:wsp>
                        <wps:cNvPr id="991848477" name="Rectangle 991848477"/>
                        <wps:cNvSpPr/>
                        <wps:spPr>
                          <a:xfrm>
                            <a:off x="3485305" y="1107167"/>
                            <a:ext cx="1894113" cy="1379880"/>
                          </a:xfrm>
                          <a:prstGeom prst="rect">
                            <a:avLst/>
                          </a:prstGeom>
                          <a:solidFill>
                            <a:srgbClr val="333399"/>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743BE689"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Significant increase in credit risk since initial recognition</w:t>
                              </w:r>
                            </w:p>
                            <w:p w14:paraId="39081C91"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Lifetime ECL</w:t>
                              </w:r>
                            </w:p>
                            <w:p w14:paraId="073CB7D4"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Changes in credit risk shall be assessed by means of a probability of default measure and not LGD</w:t>
                              </w:r>
                            </w:p>
                          </w:txbxContent>
                        </wps:txbx>
                        <wps:bodyPr rtlCol="0" anchor="ctr"/>
                      </wps:wsp>
                      <wps:wsp>
                        <wps:cNvPr id="257858592" name="Rectangle 257858592"/>
                        <wps:cNvSpPr/>
                        <wps:spPr>
                          <a:xfrm>
                            <a:off x="6957847" y="1132196"/>
                            <a:ext cx="1894113" cy="1332850"/>
                          </a:xfrm>
                          <a:prstGeom prst="rect">
                            <a:avLst/>
                          </a:prstGeom>
                          <a:solidFill>
                            <a:srgbClr val="333399"/>
                          </a:solidFill>
                          <a:ln>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1D3D2D33"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Credit impaired assets</w:t>
                              </w:r>
                            </w:p>
                            <w:p w14:paraId="4EFBC6A8"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Assignment to Stage 3 in the presence of one or more objective indicators for credit impairment</w:t>
                              </w:r>
                            </w:p>
                          </w:txbxContent>
                        </wps:txbx>
                        <wps:bodyPr rtlCol="0" anchor="ctr"/>
                      </wps:wsp>
                      <wps:wsp>
                        <wps:cNvPr id="600222853" name="Rectangle 600222853">
                          <a:extLst>
                            <a:ext uri="{FF2B5EF4-FFF2-40B4-BE49-F238E27FC236}">
                              <a16:creationId xmlns:a16="http://schemas.microsoft.com/office/drawing/2014/main" id="{D7E96119-8D42-CAC2-8C44-A5957DA168DA}"/>
                            </a:ext>
                          </a:extLst>
                        </wps:cNvPr>
                        <wps:cNvSpPr/>
                        <wps:spPr>
                          <a:xfrm>
                            <a:off x="99846" y="809308"/>
                            <a:ext cx="2002972" cy="345917"/>
                          </a:xfrm>
                          <a:prstGeom prst="rect">
                            <a:avLst/>
                          </a:prstGeom>
                          <a:solidFill>
                            <a:schemeClr val="tx2"/>
                          </a:solidFill>
                          <a:ln w="19050">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3D5CCE10" w14:textId="77777777" w:rsidR="00063424" w:rsidRPr="004C67F3" w:rsidRDefault="00063424" w:rsidP="00063424">
                              <w:pPr>
                                <w:jc w:val="center"/>
                                <w:rPr>
                                  <w:rFonts w:cs="Calibri"/>
                                  <w:b/>
                                  <w:bCs/>
                                  <w:color w:val="FFFFFF"/>
                                  <w:kern w:val="24"/>
                                  <w:sz w:val="20"/>
                                  <w:szCs w:val="20"/>
                                </w:rPr>
                              </w:pPr>
                              <w:r w:rsidRPr="004C67F3">
                                <w:rPr>
                                  <w:rFonts w:cs="Calibri"/>
                                  <w:b/>
                                  <w:bCs/>
                                  <w:color w:val="FFFFFF"/>
                                  <w:kern w:val="24"/>
                                  <w:sz w:val="20"/>
                                  <w:szCs w:val="20"/>
                                </w:rPr>
                                <w:t>Stage 1</w:t>
                              </w:r>
                            </w:p>
                          </w:txbxContent>
                        </wps:txbx>
                        <wps:bodyPr rtlCol="0" anchor="ctr"/>
                      </wps:wsp>
                      <wps:wsp>
                        <wps:cNvPr id="811455448" name="Rectangle 811455448">
                          <a:extLst>
                            <a:ext uri="{FF2B5EF4-FFF2-40B4-BE49-F238E27FC236}">
                              <a16:creationId xmlns:a16="http://schemas.microsoft.com/office/drawing/2014/main" id="{437FF561-99AD-4CD5-C144-9EF9BC42D192}"/>
                            </a:ext>
                          </a:extLst>
                        </wps:cNvPr>
                        <wps:cNvSpPr/>
                        <wps:spPr>
                          <a:xfrm>
                            <a:off x="3497637" y="799740"/>
                            <a:ext cx="1894113" cy="345917"/>
                          </a:xfrm>
                          <a:prstGeom prst="rect">
                            <a:avLst/>
                          </a:prstGeom>
                          <a:solidFill>
                            <a:schemeClr val="tx2"/>
                          </a:solidFill>
                          <a:ln w="19050">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143A5928" w14:textId="77777777" w:rsidR="00063424" w:rsidRDefault="00063424" w:rsidP="00063424">
                              <w:pPr>
                                <w:jc w:val="center"/>
                                <w:rPr>
                                  <w:rFonts w:asciiTheme="minorHAnsi" w:hAnsi="Cambria"/>
                                  <w:b/>
                                  <w:bCs/>
                                  <w:color w:val="FFFFFF"/>
                                  <w:kern w:val="24"/>
                                  <w:sz w:val="20"/>
                                  <w:szCs w:val="20"/>
                                </w:rPr>
                              </w:pPr>
                              <w:r>
                                <w:rPr>
                                  <w:rFonts w:asciiTheme="minorHAnsi" w:hAnsi="Cambria"/>
                                  <w:b/>
                                  <w:bCs/>
                                  <w:color w:val="FFFFFF"/>
                                  <w:kern w:val="24"/>
                                  <w:sz w:val="20"/>
                                  <w:szCs w:val="20"/>
                                </w:rPr>
                                <w:t>Stage 2</w:t>
                              </w:r>
                            </w:p>
                          </w:txbxContent>
                        </wps:txbx>
                        <wps:bodyPr rtlCol="0" anchor="ctr"/>
                      </wps:wsp>
                      <wps:wsp>
                        <wps:cNvPr id="559889124" name="Rectangle 559889124">
                          <a:extLst>
                            <a:ext uri="{FF2B5EF4-FFF2-40B4-BE49-F238E27FC236}">
                              <a16:creationId xmlns:a16="http://schemas.microsoft.com/office/drawing/2014/main" id="{8A50F568-C9A9-BC1F-26BD-305441115D3E}"/>
                            </a:ext>
                          </a:extLst>
                        </wps:cNvPr>
                        <wps:cNvSpPr/>
                        <wps:spPr>
                          <a:xfrm>
                            <a:off x="6957847" y="836969"/>
                            <a:ext cx="1894113" cy="346741"/>
                          </a:xfrm>
                          <a:prstGeom prst="rect">
                            <a:avLst/>
                          </a:prstGeom>
                          <a:solidFill>
                            <a:schemeClr val="tx2"/>
                          </a:solidFill>
                          <a:ln w="19050">
                            <a:solidFill>
                              <a:schemeClr val="bg1"/>
                            </a:solidFill>
                          </a:ln>
                          <a:effectLst/>
                        </wps:spPr>
                        <wps:style>
                          <a:lnRef idx="1">
                            <a:schemeClr val="accent1"/>
                          </a:lnRef>
                          <a:fillRef idx="3">
                            <a:schemeClr val="accent1"/>
                          </a:fillRef>
                          <a:effectRef idx="2">
                            <a:schemeClr val="accent1"/>
                          </a:effectRef>
                          <a:fontRef idx="minor">
                            <a:schemeClr val="lt1"/>
                          </a:fontRef>
                        </wps:style>
                        <wps:txbx>
                          <w:txbxContent>
                            <w:p w14:paraId="162A0DFC" w14:textId="77777777" w:rsidR="00063424" w:rsidRDefault="00063424" w:rsidP="00063424">
                              <w:pPr>
                                <w:jc w:val="center"/>
                                <w:rPr>
                                  <w:rFonts w:asciiTheme="minorHAnsi" w:hAnsi="Cambria"/>
                                  <w:b/>
                                  <w:bCs/>
                                  <w:color w:val="FFFFFF"/>
                                  <w:kern w:val="24"/>
                                  <w:sz w:val="20"/>
                                  <w:szCs w:val="20"/>
                                </w:rPr>
                              </w:pPr>
                              <w:r>
                                <w:rPr>
                                  <w:rFonts w:asciiTheme="minorHAnsi" w:hAnsi="Cambria"/>
                                  <w:b/>
                                  <w:bCs/>
                                  <w:color w:val="FFFFFF"/>
                                  <w:kern w:val="24"/>
                                  <w:sz w:val="20"/>
                                  <w:szCs w:val="20"/>
                                </w:rPr>
                                <w:t>Stage 3</w:t>
                              </w:r>
                            </w:p>
                          </w:txbxContent>
                        </wps:txbx>
                        <wps:bodyPr rtlCol="0" anchor="ctr"/>
                      </wps:wsp>
                      <wps:wsp>
                        <wps:cNvPr id="962855302" name="Arrow: Right 962855302">
                          <a:extLst>
                            <a:ext uri="{FF2B5EF4-FFF2-40B4-BE49-F238E27FC236}">
                              <a16:creationId xmlns:a16="http://schemas.microsoft.com/office/drawing/2014/main" id="{3060607A-E2BF-8A3D-F0E0-D07F58BBECE1}"/>
                            </a:ext>
                          </a:extLst>
                        </wps:cNvPr>
                        <wps:cNvSpPr/>
                        <wps:spPr>
                          <a:xfrm>
                            <a:off x="2150674" y="1366412"/>
                            <a:ext cx="1289959" cy="555165"/>
                          </a:xfrm>
                          <a:prstGeom prst="rightArrow">
                            <a:avLst/>
                          </a:prstGeom>
                          <a:solidFill>
                            <a:srgbClr val="FFCC00"/>
                          </a:solidFill>
                          <a:ln>
                            <a:solidFill>
                              <a:srgbClr val="FFCC00"/>
                            </a:solidFill>
                          </a:ln>
                          <a:effectLst/>
                        </wps:spPr>
                        <wps:style>
                          <a:lnRef idx="1">
                            <a:schemeClr val="accent1"/>
                          </a:lnRef>
                          <a:fillRef idx="3">
                            <a:schemeClr val="accent1"/>
                          </a:fillRef>
                          <a:effectRef idx="2">
                            <a:schemeClr val="accent1"/>
                          </a:effectRef>
                          <a:fontRef idx="minor">
                            <a:schemeClr val="lt1"/>
                          </a:fontRef>
                        </wps:style>
                        <wps:txbx>
                          <w:txbxContent>
                            <w:p w14:paraId="20E659A1" w14:textId="77777777" w:rsidR="00063424" w:rsidRPr="005D7824" w:rsidRDefault="00063424" w:rsidP="00063424">
                              <w:pPr>
                                <w:jc w:val="center"/>
                                <w:rPr>
                                  <w:rFonts w:asciiTheme="minorHAnsi" w:hAnsi="Cambria"/>
                                  <w:b/>
                                  <w:bCs/>
                                  <w:color w:val="000000" w:themeColor="text1"/>
                                  <w:kern w:val="24"/>
                                  <w:sz w:val="16"/>
                                  <w:szCs w:val="16"/>
                                </w:rPr>
                              </w:pPr>
                              <w:r w:rsidRPr="00F4466D">
                                <w:rPr>
                                  <w:rFonts w:asciiTheme="minorHAnsi" w:hAnsi="Cambria"/>
                                  <w:b/>
                                  <w:color w:val="FFFFFF" w:themeColor="background1"/>
                                  <w:kern w:val="24"/>
                                  <w:sz w:val="16"/>
                                  <w:szCs w:val="16"/>
                                </w:rPr>
                                <w:t xml:space="preserve">Transfer from </w:t>
                              </w:r>
                              <w:r w:rsidRPr="005D7824">
                                <w:rPr>
                                  <w:rFonts w:asciiTheme="minorHAnsi" w:hAnsi="Cambria"/>
                                  <w:b/>
                                  <w:bCs/>
                                  <w:color w:val="000000" w:themeColor="text1"/>
                                  <w:kern w:val="24"/>
                                  <w:sz w:val="16"/>
                                  <w:szCs w:val="16"/>
                                </w:rPr>
                                <w:t>Stage 1</w:t>
                              </w:r>
                            </w:p>
                          </w:txbxContent>
                        </wps:txbx>
                        <wps:bodyPr rtlCol="0" anchor="ctr"/>
                      </wps:wsp>
                      <wps:wsp>
                        <wps:cNvPr id="1887378144" name="Arrow: Right 1887378144">
                          <a:extLst>
                            <a:ext uri="{FF2B5EF4-FFF2-40B4-BE49-F238E27FC236}">
                              <a16:creationId xmlns:a16="http://schemas.microsoft.com/office/drawing/2014/main" id="{BF3109C0-56E1-7110-5A2B-22CB3D9D5D7B}"/>
                            </a:ext>
                          </a:extLst>
                        </wps:cNvPr>
                        <wps:cNvSpPr/>
                        <wps:spPr>
                          <a:xfrm>
                            <a:off x="5548146" y="1260997"/>
                            <a:ext cx="1322614" cy="618294"/>
                          </a:xfrm>
                          <a:prstGeom prst="rightArrow">
                            <a:avLst/>
                          </a:prstGeom>
                          <a:solidFill>
                            <a:srgbClr val="FFCC00"/>
                          </a:solidFill>
                          <a:ln>
                            <a:solidFill>
                              <a:srgbClr val="FFCC00"/>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1488196390" name="Arrow: Right 1488196390">
                          <a:extLst>
                            <a:ext uri="{FF2B5EF4-FFF2-40B4-BE49-F238E27FC236}">
                              <a16:creationId xmlns:a16="http://schemas.microsoft.com/office/drawing/2014/main" id="{F82F2BD8-E0EE-957B-A8B3-97879FF82ADE}"/>
                            </a:ext>
                          </a:extLst>
                        </wps:cNvPr>
                        <wps:cNvSpPr/>
                        <wps:spPr>
                          <a:xfrm rot="10800000">
                            <a:off x="2195339" y="1879291"/>
                            <a:ext cx="1202873" cy="545076"/>
                          </a:xfrm>
                          <a:prstGeom prst="rightArrow">
                            <a:avLst/>
                          </a:prstGeom>
                          <a:solidFill>
                            <a:srgbClr val="FFCC00"/>
                          </a:solidFill>
                          <a:ln>
                            <a:solidFill>
                              <a:srgbClr val="FFCC00"/>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755345186" name="Arrow: Right 755345186">
                          <a:extLst>
                            <a:ext uri="{FF2B5EF4-FFF2-40B4-BE49-F238E27FC236}">
                              <a16:creationId xmlns:a16="http://schemas.microsoft.com/office/drawing/2014/main" id="{3A9A8A2D-7F31-0116-4DBB-15C77EB338EA}"/>
                            </a:ext>
                          </a:extLst>
                        </wps:cNvPr>
                        <wps:cNvSpPr/>
                        <wps:spPr>
                          <a:xfrm rot="10800000">
                            <a:off x="5548145" y="1807914"/>
                            <a:ext cx="1322614" cy="616453"/>
                          </a:xfrm>
                          <a:prstGeom prst="rightArrow">
                            <a:avLst/>
                          </a:prstGeom>
                          <a:solidFill>
                            <a:srgbClr val="FFCC00"/>
                          </a:solidFill>
                          <a:ln>
                            <a:solidFill>
                              <a:srgbClr val="FFCC00"/>
                            </a:solid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59289512" name="TextBox 14">
                          <a:extLst>
                            <a:ext uri="{FF2B5EF4-FFF2-40B4-BE49-F238E27FC236}">
                              <a16:creationId xmlns:a16="http://schemas.microsoft.com/office/drawing/2014/main" id="{99EC8788-52F7-3531-9EE6-B256D79B3123}"/>
                            </a:ext>
                          </a:extLst>
                        </wps:cNvPr>
                        <wps:cNvSpPr txBox="1"/>
                        <wps:spPr>
                          <a:xfrm>
                            <a:off x="2344874" y="2020322"/>
                            <a:ext cx="903323" cy="334894"/>
                          </a:xfrm>
                          <a:prstGeom prst="rect">
                            <a:avLst/>
                          </a:prstGeom>
                          <a:noFill/>
                        </wps:spPr>
                        <wps:txbx>
                          <w:txbxContent>
                            <w:p w14:paraId="3B725206" w14:textId="5F4A501F" w:rsidR="00063424" w:rsidRPr="00DF6069" w:rsidRDefault="00063424" w:rsidP="00063424">
                              <w:pPr>
                                <w:jc w:val="center"/>
                                <w:rPr>
                                  <w:rFonts w:asciiTheme="minorHAnsi" w:hAnsi="Cambria"/>
                                  <w:b/>
                                  <w:bCs/>
                                  <w:color w:val="FFFFFF" w:themeColor="background1"/>
                                  <w:kern w:val="24"/>
                                  <w:sz w:val="16"/>
                                  <w:szCs w:val="16"/>
                                </w:rPr>
                              </w:pPr>
                              <w:r w:rsidRPr="00DF6069">
                                <w:rPr>
                                  <w:rFonts w:asciiTheme="minorHAnsi" w:hAnsi="Cambria"/>
                                  <w:b/>
                                  <w:bCs/>
                                  <w:color w:val="FFFFFF" w:themeColor="background1"/>
                                  <w:kern w:val="24"/>
                                  <w:sz w:val="16"/>
                                  <w:szCs w:val="16"/>
                                </w:rPr>
                                <w:t xml:space="preserve">Reverse </w:t>
                              </w:r>
                            </w:p>
                          </w:txbxContent>
                        </wps:txbx>
                        <wps:bodyPr wrap="square">
                          <a:noAutofit/>
                        </wps:bodyPr>
                      </wps:wsp>
                      <wps:wsp>
                        <wps:cNvPr id="456051613" name="TextBox 15">
                          <a:extLst>
                            <a:ext uri="{FF2B5EF4-FFF2-40B4-BE49-F238E27FC236}">
                              <a16:creationId xmlns:a16="http://schemas.microsoft.com/office/drawing/2014/main" id="{DE4E5B5A-7239-5A1F-F818-C5B878F01B5D}"/>
                            </a:ext>
                          </a:extLst>
                        </wps:cNvPr>
                        <wps:cNvSpPr txBox="1"/>
                        <wps:spPr>
                          <a:xfrm>
                            <a:off x="5677159" y="1998320"/>
                            <a:ext cx="903323" cy="466726"/>
                          </a:xfrm>
                          <a:prstGeom prst="rect">
                            <a:avLst/>
                          </a:prstGeom>
                          <a:noFill/>
                        </wps:spPr>
                        <wps:txbx>
                          <w:txbxContent>
                            <w:p w14:paraId="382C9245" w14:textId="5EC4A475" w:rsidR="00063424" w:rsidRPr="00DF6069" w:rsidRDefault="00063424" w:rsidP="00063424">
                              <w:pPr>
                                <w:jc w:val="center"/>
                                <w:rPr>
                                  <w:rFonts w:asciiTheme="minorHAnsi" w:hAnsi="Cambria"/>
                                  <w:b/>
                                  <w:bCs/>
                                  <w:color w:val="FFFFFF" w:themeColor="background1"/>
                                  <w:kern w:val="24"/>
                                  <w:sz w:val="16"/>
                                  <w:szCs w:val="16"/>
                                </w:rPr>
                              </w:pPr>
                              <w:r w:rsidRPr="00DF6069">
                                <w:rPr>
                                  <w:rFonts w:asciiTheme="minorHAnsi" w:hAnsi="Cambria"/>
                                  <w:b/>
                                  <w:bCs/>
                                  <w:color w:val="FFFFFF" w:themeColor="background1"/>
                                  <w:kern w:val="24"/>
                                  <w:sz w:val="16"/>
                                  <w:szCs w:val="16"/>
                                </w:rPr>
                                <w:t>Reverse</w:t>
                              </w:r>
                            </w:p>
                          </w:txbxContent>
                        </wps:txbx>
                        <wps:bodyPr wrap="square">
                          <a:noAutofit/>
                        </wps:bodyPr>
                      </wps:wsp>
                      <wps:wsp>
                        <wps:cNvPr id="1065374223" name="TextBox 17">
                          <a:extLst>
                            <a:ext uri="{FF2B5EF4-FFF2-40B4-BE49-F238E27FC236}">
                              <a16:creationId xmlns:a16="http://schemas.microsoft.com/office/drawing/2014/main" id="{EA85BE8C-B0EB-1D99-5BDA-0E68C5EECD8A}"/>
                            </a:ext>
                          </a:extLst>
                        </wps:cNvPr>
                        <wps:cNvSpPr txBox="1"/>
                        <wps:spPr>
                          <a:xfrm>
                            <a:off x="5566887" y="1424485"/>
                            <a:ext cx="1132112" cy="284700"/>
                          </a:xfrm>
                          <a:prstGeom prst="rect">
                            <a:avLst/>
                          </a:prstGeom>
                          <a:noFill/>
                        </wps:spPr>
                        <wps:txbx>
                          <w:txbxContent>
                            <w:p w14:paraId="51F54570" w14:textId="41039CAF" w:rsidR="00063424" w:rsidRPr="00DF6069" w:rsidRDefault="00063424" w:rsidP="00063424">
                              <w:pPr>
                                <w:jc w:val="center"/>
                                <w:rPr>
                                  <w:rFonts w:asciiTheme="minorHAnsi" w:hAnsi="Cambria"/>
                                  <w:b/>
                                  <w:bCs/>
                                  <w:color w:val="FFFFFF" w:themeColor="background1"/>
                                  <w:kern w:val="24"/>
                                  <w:sz w:val="16"/>
                                  <w:szCs w:val="16"/>
                                </w:rPr>
                              </w:pPr>
                              <w:r w:rsidRPr="00DF6069">
                                <w:rPr>
                                  <w:rFonts w:asciiTheme="minorHAnsi" w:hAnsi="Cambria"/>
                                  <w:b/>
                                  <w:bCs/>
                                  <w:color w:val="FFFFFF" w:themeColor="background1"/>
                                  <w:kern w:val="24"/>
                                  <w:sz w:val="16"/>
                                  <w:szCs w:val="16"/>
                                </w:rPr>
                                <w:t>Transfer fr</w:t>
                              </w:r>
                              <w:r w:rsidR="009363BC" w:rsidRPr="00DF6069">
                                <w:rPr>
                                  <w:rFonts w:asciiTheme="minorHAnsi" w:hAnsi="Cambria"/>
                                  <w:b/>
                                  <w:bCs/>
                                  <w:color w:val="FFFFFF" w:themeColor="background1"/>
                                  <w:kern w:val="24"/>
                                  <w:sz w:val="16"/>
                                  <w:szCs w:val="16"/>
                                </w:rPr>
                                <w:t>om</w:t>
                              </w:r>
                            </w:p>
                          </w:txbxContent>
                        </wps:txbx>
                        <wps:bodyPr wrap="square">
                          <a:noAutofit/>
                        </wps:bodyPr>
                      </wps:wsp>
                      <wps:wsp>
                        <wps:cNvPr id="247134065" name="Rectangle 247134065">
                          <a:extLst>
                            <a:ext uri="{FF2B5EF4-FFF2-40B4-BE49-F238E27FC236}">
                              <a16:creationId xmlns:a16="http://schemas.microsoft.com/office/drawing/2014/main" id="{62BFCC6D-6390-CF2F-5A6B-21A54F8955DC}"/>
                            </a:ext>
                          </a:extLst>
                        </wps:cNvPr>
                        <wps:cNvSpPr/>
                        <wps:spPr>
                          <a:xfrm>
                            <a:off x="2102817" y="70053"/>
                            <a:ext cx="4855030" cy="454686"/>
                          </a:xfrm>
                          <a:prstGeom prst="rect">
                            <a:avLst/>
                          </a:prstGeom>
                          <a:ln>
                            <a:solidFill>
                              <a:srgbClr val="FFCC00"/>
                            </a:solidFill>
                          </a:ln>
                        </wps:spPr>
                        <wps:style>
                          <a:lnRef idx="2">
                            <a:schemeClr val="dk1"/>
                          </a:lnRef>
                          <a:fillRef idx="1">
                            <a:schemeClr val="lt1"/>
                          </a:fillRef>
                          <a:effectRef idx="0">
                            <a:schemeClr val="dk1"/>
                          </a:effectRef>
                          <a:fontRef idx="minor">
                            <a:schemeClr val="dk1"/>
                          </a:fontRef>
                        </wps:style>
                        <wps:txbx>
                          <w:txbxContent>
                            <w:p w14:paraId="463833E7" w14:textId="77777777" w:rsidR="00063424" w:rsidRPr="00BF235E" w:rsidRDefault="00063424" w:rsidP="00063424">
                              <w:pPr>
                                <w:jc w:val="center"/>
                                <w:rPr>
                                  <w:rFonts w:cs="Calibri"/>
                                  <w:b/>
                                  <w:bCs/>
                                  <w:color w:val="000000" w:themeColor="text1"/>
                                  <w:kern w:val="24"/>
                                  <w:sz w:val="28"/>
                                  <w:szCs w:val="28"/>
                                </w:rPr>
                              </w:pPr>
                              <w:r w:rsidRPr="00BF235E">
                                <w:rPr>
                                  <w:rFonts w:cs="Calibri"/>
                                  <w:b/>
                                  <w:bCs/>
                                  <w:color w:val="000000" w:themeColor="text1"/>
                                  <w:kern w:val="24"/>
                                  <w:sz w:val="28"/>
                                  <w:szCs w:val="28"/>
                                </w:rPr>
                                <w:t>Change in Credit Quality</w:t>
                              </w:r>
                            </w:p>
                          </w:txbxContent>
                        </wps:txbx>
                        <wps:bodyPr rtlCol="0" anchor="ctr"/>
                      </wps:wsp>
                      <wps:wsp>
                        <wps:cNvPr id="380743220" name="Arrow: Left 380743220">
                          <a:extLst>
                            <a:ext uri="{FF2B5EF4-FFF2-40B4-BE49-F238E27FC236}">
                              <a16:creationId xmlns:a16="http://schemas.microsoft.com/office/drawing/2014/main" id="{E99E39F9-F45A-6E9F-2B62-C32246E3029C}"/>
                            </a:ext>
                          </a:extLst>
                        </wps:cNvPr>
                        <wps:cNvSpPr/>
                        <wps:spPr>
                          <a:xfrm>
                            <a:off x="459075" y="233637"/>
                            <a:ext cx="1643742" cy="144560"/>
                          </a:xfrm>
                          <a:prstGeom prst="leftArrow">
                            <a:avLst/>
                          </a:prstGeom>
                          <a:solidFill>
                            <a:srgbClr val="FFCC00"/>
                          </a:solidFill>
                          <a:ln>
                            <a:solidFill>
                              <a:srgbClr val="FFCC00"/>
                            </a:solidFill>
                          </a:ln>
                          <a:effectLst/>
                        </wps:spPr>
                        <wps:style>
                          <a:lnRef idx="1">
                            <a:schemeClr val="dk1"/>
                          </a:lnRef>
                          <a:fillRef idx="3">
                            <a:schemeClr val="dk1"/>
                          </a:fillRef>
                          <a:effectRef idx="2">
                            <a:schemeClr val="dk1"/>
                          </a:effectRef>
                          <a:fontRef idx="minor">
                            <a:schemeClr val="lt1"/>
                          </a:fontRef>
                        </wps:style>
                        <wps:bodyPr rtlCol="0" anchor="ctr"/>
                      </wps:wsp>
                      <wps:wsp>
                        <wps:cNvPr id="280234234" name="Arrow: Left 280234234">
                          <a:extLst>
                            <a:ext uri="{FF2B5EF4-FFF2-40B4-BE49-F238E27FC236}">
                              <a16:creationId xmlns:a16="http://schemas.microsoft.com/office/drawing/2014/main" id="{6C7A9103-E084-7451-5866-189DBCC15B49}"/>
                            </a:ext>
                          </a:extLst>
                        </wps:cNvPr>
                        <wps:cNvSpPr/>
                        <wps:spPr>
                          <a:xfrm rot="10800000">
                            <a:off x="6946961" y="222751"/>
                            <a:ext cx="1643742" cy="144560"/>
                          </a:xfrm>
                          <a:prstGeom prst="leftArrow">
                            <a:avLst/>
                          </a:prstGeom>
                          <a:solidFill>
                            <a:srgbClr val="FFCC00"/>
                          </a:solidFill>
                          <a:ln>
                            <a:solidFill>
                              <a:srgbClr val="FFCC00"/>
                            </a:solidFill>
                          </a:ln>
                          <a:effectLst/>
                        </wps:spPr>
                        <wps:style>
                          <a:lnRef idx="1">
                            <a:schemeClr val="dk1"/>
                          </a:lnRef>
                          <a:fillRef idx="3">
                            <a:schemeClr val="dk1"/>
                          </a:fillRef>
                          <a:effectRef idx="2">
                            <a:schemeClr val="dk1"/>
                          </a:effectRef>
                          <a:fontRef idx="minor">
                            <a:schemeClr val="lt1"/>
                          </a:fontRef>
                        </wps:style>
                        <wps:bodyPr rtlCol="0" anchor="ctr"/>
                      </wps:wsp>
                    </wpg:wgp>
                  </a:graphicData>
                </a:graphic>
              </wp:anchor>
            </w:drawing>
          </mc:Choice>
          <mc:Fallback>
            <w:pict>
              <v:group w14:anchorId="46AEB99C" id="Group 33" o:spid="_x0000_s1026" style="position:absolute;margin-left:1.05pt;margin-top:13.15pt;width:532.3pt;height:150.2pt;z-index:251658242" coordorigin="998,700" coordsize="87521,244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">
                <v:rect id="Rectangle 1111043799" o:spid="_x0000_s1027" style="position:absolute;left:998;top:10923;width:20030;height:142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" fillcolor="#339" strokecolor="white [3212]">
                  <v:textbox>
                    <w:txbxContent>
                      <w:p w14:paraId="6E43168A" w14:textId="77777777" w:rsidR="00B71A7E" w:rsidRPr="00B71A7E" w:rsidRDefault="00063424" w:rsidP="00093F45">
                        <w:pPr>
                          <w:jc w:val="both"/>
                          <w:rPr>
                            <w:rFonts w:cs="Calibri"/>
                            <w:color w:val="FFFFFF"/>
                            <w:kern w:val="24"/>
                            <w:sz w:val="16"/>
                            <w:szCs w:val="16"/>
                          </w:rPr>
                        </w:pPr>
                        <w:r w:rsidRPr="00B71A7E">
                          <w:rPr>
                            <w:rFonts w:cs="Calibri"/>
                            <w:color w:val="FFFFFF"/>
                            <w:kern w:val="24"/>
                            <w:sz w:val="16"/>
                            <w:szCs w:val="16"/>
                          </w:rPr>
                          <w:t>No significant increase in credit risk since initial recognition</w:t>
                        </w:r>
                      </w:p>
                      <w:p w14:paraId="7619F2A3" w14:textId="74A4B866" w:rsidR="00063424" w:rsidRPr="00B71A7E" w:rsidRDefault="00063424" w:rsidP="00093F45">
                        <w:pPr>
                          <w:jc w:val="both"/>
                          <w:rPr>
                            <w:rFonts w:cs="Calibri"/>
                            <w:color w:val="FFFFFF"/>
                            <w:kern w:val="24"/>
                            <w:sz w:val="16"/>
                            <w:szCs w:val="16"/>
                          </w:rPr>
                        </w:pPr>
                        <w:r w:rsidRPr="00B71A7E">
                          <w:rPr>
                            <w:rFonts w:cs="Calibri"/>
                            <w:color w:val="FFFFFF"/>
                            <w:kern w:val="24"/>
                            <w:sz w:val="16"/>
                            <w:szCs w:val="16"/>
                          </w:rPr>
                          <w:t>All performing assets are assigned to Stage 1 at initial recognition</w:t>
                        </w:r>
                      </w:p>
                      <w:p w14:paraId="5C7E45A8" w14:textId="77777777" w:rsidR="00063424" w:rsidRPr="00B71A7E" w:rsidRDefault="00063424" w:rsidP="00093F45">
                        <w:pPr>
                          <w:jc w:val="both"/>
                          <w:rPr>
                            <w:rFonts w:cs="Calibri"/>
                            <w:color w:val="FFFFFF"/>
                            <w:kern w:val="24"/>
                            <w:sz w:val="16"/>
                            <w:szCs w:val="16"/>
                          </w:rPr>
                        </w:pPr>
                        <w:r w:rsidRPr="00B71A7E">
                          <w:rPr>
                            <w:rFonts w:cs="Calibri"/>
                            <w:color w:val="FFFFFF"/>
                            <w:kern w:val="24"/>
                            <w:sz w:val="16"/>
                            <w:szCs w:val="16"/>
                          </w:rPr>
                          <w:t>12-month ECL</w:t>
                        </w:r>
                      </w:p>
                    </w:txbxContent>
                  </v:textbox>
                </v:rect>
                <v:rect id="Rectangle 991848477" o:spid="_x0000_s1028" style="position:absolute;left:34853;top:11071;width:18941;height:13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" fillcolor="#339" strokecolor="white [3212]">
                  <v:textbox>
                    <w:txbxContent>
                      <w:p w14:paraId="743BE689"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Significant increase in credit risk since initial recognition</w:t>
                        </w:r>
                      </w:p>
                      <w:p w14:paraId="39081C91"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Lifetime ECL</w:t>
                        </w:r>
                      </w:p>
                      <w:p w14:paraId="073CB7D4"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Changes in credit risk shall be assessed by means of a probability of default measure and not LGD</w:t>
                        </w:r>
                      </w:p>
                    </w:txbxContent>
                  </v:textbox>
                </v:rect>
                <v:rect id="Rectangle 257858592" o:spid="_x0000_s1029" style="position:absolute;left:69578;top:11321;width:18941;height:13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" fillcolor="#339" strokecolor="white [3212]">
                  <v:textbox>
                    <w:txbxContent>
                      <w:p w14:paraId="1D3D2D33"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Credit impaired assets</w:t>
                        </w:r>
                      </w:p>
                      <w:p w14:paraId="4EFBC6A8" w14:textId="77777777" w:rsidR="00063424" w:rsidRPr="004552BE" w:rsidRDefault="00063424" w:rsidP="00063424">
                        <w:pPr>
                          <w:rPr>
                            <w:rFonts w:cs="Calibri"/>
                            <w:color w:val="FFFFFF"/>
                            <w:kern w:val="24"/>
                            <w:sz w:val="16"/>
                            <w:szCs w:val="16"/>
                          </w:rPr>
                        </w:pPr>
                        <w:r w:rsidRPr="004552BE">
                          <w:rPr>
                            <w:rFonts w:cs="Calibri"/>
                            <w:color w:val="FFFFFF"/>
                            <w:kern w:val="24"/>
                            <w:sz w:val="16"/>
                            <w:szCs w:val="16"/>
                          </w:rPr>
                          <w:t>Assignment to Stage 3 in the presence of one or more objective indicators for credit impairment</w:t>
                        </w:r>
                      </w:p>
                    </w:txbxContent>
                  </v:textbox>
                </v:rect>
                <v:rect id="Rectangle 600222853" o:spid="_x0000_s1030" style="position:absolute;left:998;top:8093;width:20030;height:3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" fillcolor="#1f497d [3215]" strokecolor="white [3212]" strokeweight="1.5pt">
                  <v:textbox>
                    <w:txbxContent>
                      <w:p w14:paraId="3D5CCE10" w14:textId="77777777" w:rsidR="00063424" w:rsidRPr="004C67F3" w:rsidRDefault="00063424" w:rsidP="00063424">
                        <w:pPr>
                          <w:jc w:val="center"/>
                          <w:rPr>
                            <w:rFonts w:cs="Calibri"/>
                            <w:b/>
                            <w:bCs/>
                            <w:color w:val="FFFFFF"/>
                            <w:kern w:val="24"/>
                            <w:sz w:val="20"/>
                            <w:szCs w:val="20"/>
                          </w:rPr>
                        </w:pPr>
                        <w:r w:rsidRPr="004C67F3">
                          <w:rPr>
                            <w:rFonts w:cs="Calibri"/>
                            <w:b/>
                            <w:bCs/>
                            <w:color w:val="FFFFFF"/>
                            <w:kern w:val="24"/>
                            <w:sz w:val="20"/>
                            <w:szCs w:val="20"/>
                          </w:rPr>
                          <w:t>Stage 1</w:t>
                        </w:r>
                      </w:p>
                    </w:txbxContent>
                  </v:textbox>
                </v:rect>
                <v:rect id="Rectangle 811455448" o:spid="_x0000_s1031" style="position:absolute;left:34976;top:7997;width:18941;height:3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" fillcolor="#1f497d [3215]" strokecolor="white [3212]" strokeweight="1.5pt">
                  <v:textbox>
                    <w:txbxContent>
                      <w:p w14:paraId="143A5928" w14:textId="77777777" w:rsidR="00063424" w:rsidRDefault="00063424" w:rsidP="00063424">
                        <w:pPr>
                          <w:jc w:val="center"/>
                          <w:rPr>
                            <w:rFonts w:asciiTheme="minorHAnsi" w:hAnsi="Cambria"/>
                            <w:b/>
                            <w:bCs/>
                            <w:color w:val="FFFFFF"/>
                            <w:kern w:val="24"/>
                            <w:sz w:val="20"/>
                            <w:szCs w:val="20"/>
                          </w:rPr>
                        </w:pPr>
                        <w:r>
                          <w:rPr>
                            <w:rFonts w:asciiTheme="minorHAnsi" w:hAnsi="Cambria"/>
                            <w:b/>
                            <w:bCs/>
                            <w:color w:val="FFFFFF"/>
                            <w:kern w:val="24"/>
                            <w:sz w:val="20"/>
                            <w:szCs w:val="20"/>
                          </w:rPr>
                          <w:t>Stage 2</w:t>
                        </w:r>
                      </w:p>
                    </w:txbxContent>
                  </v:textbox>
                </v:rect>
                <v:rect id="Rectangle 559889124" o:spid="_x0000_s1032" style="position:absolute;left:69578;top:8369;width:18941;height:3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" fillcolor="#1f497d [3215]" strokecolor="white [3212]" strokeweight="1.5pt">
                  <v:textbox>
                    <w:txbxContent>
                      <w:p w14:paraId="162A0DFC" w14:textId="77777777" w:rsidR="00063424" w:rsidRDefault="00063424" w:rsidP="00063424">
                        <w:pPr>
                          <w:jc w:val="center"/>
                          <w:rPr>
                            <w:rFonts w:asciiTheme="minorHAnsi" w:hAnsi="Cambria"/>
                            <w:b/>
                            <w:bCs/>
                            <w:color w:val="FFFFFF"/>
                            <w:kern w:val="24"/>
                            <w:sz w:val="20"/>
                            <w:szCs w:val="20"/>
                          </w:rPr>
                        </w:pPr>
                        <w:r>
                          <w:rPr>
                            <w:rFonts w:asciiTheme="minorHAnsi" w:hAnsi="Cambria"/>
                            <w:b/>
                            <w:bCs/>
                            <w:color w:val="FFFFFF"/>
                            <w:kern w:val="24"/>
                            <w:sz w:val="20"/>
                            <w:szCs w:val="20"/>
                          </w:rPr>
                          <w:t>Stage 3</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962855302" o:spid="_x0000_s1033" type="#_x0000_t13" style="position:absolute;left:21506;top:13664;width:12900;height:55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" adj="16952" fillcolor="#fc0" strokecolor="#fc0">
                  <v:textbox>
                    <w:txbxContent>
                      <w:p w14:paraId="20E659A1" w14:textId="77777777" w:rsidR="00063424" w:rsidRPr="005D7824" w:rsidRDefault="00063424" w:rsidP="00063424">
                        <w:pPr>
                          <w:jc w:val="center"/>
                          <w:rPr>
                            <w:rFonts w:asciiTheme="minorHAnsi" w:hAnsi="Cambria"/>
                            <w:b/>
                            <w:bCs/>
                            <w:color w:val="000000" w:themeColor="text1"/>
                            <w:kern w:val="24"/>
                            <w:sz w:val="16"/>
                            <w:szCs w:val="16"/>
                          </w:rPr>
                        </w:pPr>
                        <w:r w:rsidRPr="00F4466D">
                          <w:rPr>
                            <w:rFonts w:asciiTheme="minorHAnsi" w:hAnsi="Cambria"/>
                            <w:b/>
                            <w:color w:val="FFFFFF" w:themeColor="background1"/>
                            <w:kern w:val="24"/>
                            <w:sz w:val="16"/>
                            <w:szCs w:val="16"/>
                          </w:rPr>
                          <w:t xml:space="preserve">Transfer from </w:t>
                        </w:r>
                        <w:r w:rsidRPr="005D7824">
                          <w:rPr>
                            <w:rFonts w:asciiTheme="minorHAnsi" w:hAnsi="Cambria"/>
                            <w:b/>
                            <w:bCs/>
                            <w:color w:val="000000" w:themeColor="text1"/>
                            <w:kern w:val="24"/>
                            <w:sz w:val="16"/>
                            <w:szCs w:val="16"/>
                          </w:rPr>
                          <w:t>Stage 1</w:t>
                        </w:r>
                      </w:p>
                    </w:txbxContent>
                  </v:textbox>
                </v:shape>
                <v:shape id="Arrow: Right 1887378144" o:spid="_x0000_s1034" type="#_x0000_t13" style="position:absolute;left:55481;top:12609;width:13226;height:6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" adj="16551" fillcolor="#fc0" strokecolor="#fc0"/>
                <v:shape id="Arrow: Right 1488196390" o:spid="_x0000_s1035" type="#_x0000_t13" style="position:absolute;left:21953;top:18792;width:12029;height:545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" adj="16706" fillcolor="#fc0" strokecolor="#fc0"/>
                <v:shape id="Arrow: Right 755345186" o:spid="_x0000_s1036" type="#_x0000_t13" style="position:absolute;left:55481;top:18079;width:13226;height:6164;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" adj="16566" fillcolor="#fc0" strokecolor="#fc0"/>
                <v:shapetype id="_x0000_t202" coordsize="21600,21600" o:spt="202" path="m,l,21600r21600,l21600,xe">
                  <v:stroke joinstyle="miter"/>
                  <v:path gradientshapeok="t" o:connecttype="rect"/>
                </v:shapetype>
                <v:shape id="TextBox 14" o:spid="_x0000_s1037" type="#_x0000_t202" style="position:absolute;left:23448;top:20203;width:9033;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" filled="f" stroked="f">
                  <v:textbox>
                    <w:txbxContent>
                      <w:p w14:paraId="3B725206" w14:textId="5F4A501F" w:rsidR="00063424" w:rsidRPr="00DF6069" w:rsidRDefault="00063424" w:rsidP="00063424">
                        <w:pPr>
                          <w:jc w:val="center"/>
                          <w:rPr>
                            <w:rFonts w:asciiTheme="minorHAnsi" w:hAnsi="Cambria"/>
                            <w:b/>
                            <w:bCs/>
                            <w:color w:val="FFFFFF" w:themeColor="background1"/>
                            <w:kern w:val="24"/>
                            <w:sz w:val="16"/>
                            <w:szCs w:val="16"/>
                          </w:rPr>
                        </w:pPr>
                        <w:r w:rsidRPr="00DF6069">
                          <w:rPr>
                            <w:rFonts w:asciiTheme="minorHAnsi" w:hAnsi="Cambria"/>
                            <w:b/>
                            <w:bCs/>
                            <w:color w:val="FFFFFF" w:themeColor="background1"/>
                            <w:kern w:val="24"/>
                            <w:sz w:val="16"/>
                            <w:szCs w:val="16"/>
                          </w:rPr>
                          <w:t xml:space="preserve">Reverse </w:t>
                        </w:r>
                      </w:p>
                    </w:txbxContent>
                  </v:textbox>
                </v:shape>
                <v:shape id="TextBox 15" o:spid="_x0000_s1038" type="#_x0000_t202" style="position:absolute;left:56771;top:19983;width:9033;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" filled="f" stroked="f">
                  <v:textbox>
                    <w:txbxContent>
                      <w:p w14:paraId="382C9245" w14:textId="5EC4A475" w:rsidR="00063424" w:rsidRPr="00DF6069" w:rsidRDefault="00063424" w:rsidP="00063424">
                        <w:pPr>
                          <w:jc w:val="center"/>
                          <w:rPr>
                            <w:rFonts w:asciiTheme="minorHAnsi" w:hAnsi="Cambria"/>
                            <w:b/>
                            <w:bCs/>
                            <w:color w:val="FFFFFF" w:themeColor="background1"/>
                            <w:kern w:val="24"/>
                            <w:sz w:val="16"/>
                            <w:szCs w:val="16"/>
                          </w:rPr>
                        </w:pPr>
                        <w:r w:rsidRPr="00DF6069">
                          <w:rPr>
                            <w:rFonts w:asciiTheme="minorHAnsi" w:hAnsi="Cambria"/>
                            <w:b/>
                            <w:bCs/>
                            <w:color w:val="FFFFFF" w:themeColor="background1"/>
                            <w:kern w:val="24"/>
                            <w:sz w:val="16"/>
                            <w:szCs w:val="16"/>
                          </w:rPr>
                          <w:t>Reverse</w:t>
                        </w:r>
                      </w:p>
                    </w:txbxContent>
                  </v:textbox>
                </v:shape>
                <v:shape id="TextBox 17" o:spid="_x0000_s1039" type="#_x0000_t202" style="position:absolute;left:55668;top:14244;width:11321;height:2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" filled="f" stroked="f">
                  <v:textbox>
                    <w:txbxContent>
                      <w:p w14:paraId="51F54570" w14:textId="41039CAF" w:rsidR="00063424" w:rsidRPr="00DF6069" w:rsidRDefault="00063424" w:rsidP="00063424">
                        <w:pPr>
                          <w:jc w:val="center"/>
                          <w:rPr>
                            <w:rFonts w:asciiTheme="minorHAnsi" w:hAnsi="Cambria"/>
                            <w:b/>
                            <w:bCs/>
                            <w:color w:val="FFFFFF" w:themeColor="background1"/>
                            <w:kern w:val="24"/>
                            <w:sz w:val="16"/>
                            <w:szCs w:val="16"/>
                          </w:rPr>
                        </w:pPr>
                        <w:r w:rsidRPr="00DF6069">
                          <w:rPr>
                            <w:rFonts w:asciiTheme="minorHAnsi" w:hAnsi="Cambria"/>
                            <w:b/>
                            <w:bCs/>
                            <w:color w:val="FFFFFF" w:themeColor="background1"/>
                            <w:kern w:val="24"/>
                            <w:sz w:val="16"/>
                            <w:szCs w:val="16"/>
                          </w:rPr>
                          <w:t>Transfer fr</w:t>
                        </w:r>
                        <w:r w:rsidR="009363BC" w:rsidRPr="00DF6069">
                          <w:rPr>
                            <w:rFonts w:asciiTheme="minorHAnsi" w:hAnsi="Cambria"/>
                            <w:b/>
                            <w:bCs/>
                            <w:color w:val="FFFFFF" w:themeColor="background1"/>
                            <w:kern w:val="24"/>
                            <w:sz w:val="16"/>
                            <w:szCs w:val="16"/>
                          </w:rPr>
                          <w:t>om</w:t>
                        </w:r>
                      </w:p>
                    </w:txbxContent>
                  </v:textbox>
                </v:shape>
                <v:rect id="Rectangle 247134065" o:spid="_x0000_s1040" style="position:absolute;left:21028;top:700;width:48550;height:4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" fillcolor="white [3201]" strokecolor="#fc0" strokeweight="2pt">
                  <v:textbox>
                    <w:txbxContent>
                      <w:p w14:paraId="463833E7" w14:textId="77777777" w:rsidR="00063424" w:rsidRPr="00BF235E" w:rsidRDefault="00063424" w:rsidP="00063424">
                        <w:pPr>
                          <w:jc w:val="center"/>
                          <w:rPr>
                            <w:rFonts w:cs="Calibri"/>
                            <w:b/>
                            <w:bCs/>
                            <w:color w:val="000000" w:themeColor="text1"/>
                            <w:kern w:val="24"/>
                            <w:sz w:val="28"/>
                            <w:szCs w:val="28"/>
                          </w:rPr>
                        </w:pPr>
                        <w:r w:rsidRPr="00BF235E">
                          <w:rPr>
                            <w:rFonts w:cs="Calibri"/>
                            <w:b/>
                            <w:bCs/>
                            <w:color w:val="000000" w:themeColor="text1"/>
                            <w:kern w:val="24"/>
                            <w:sz w:val="28"/>
                            <w:szCs w:val="28"/>
                          </w:rPr>
                          <w:t>Change in Credit Quality</w:t>
                        </w:r>
                      </w:p>
                    </w:txbxContent>
                  </v:textbox>
                </v:re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80743220" o:spid="_x0000_s1041" type="#_x0000_t66" style="position:absolute;left:4590;top:2336;width:16438;height:1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" adj="950" fillcolor="#fc0" strokecolor="#fc0"/>
                <v:shape id="Arrow: Left 280234234" o:spid="_x0000_s1042" type="#_x0000_t66" style="position:absolute;left:69469;top:2227;width:16438;height:144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" adj="950" fillcolor="#fc0" strokecolor="#fc0"/>
              </v:group>
            </w:pict>
          </mc:Fallback>
        </mc:AlternateContent>
      </w:r>
    </w:p>
    <w:p w14:paraId="197EF9F1" w14:textId="6F7E731C" w:rsidR="007C59C8" w:rsidRPr="00F32EE9" w:rsidRDefault="007C59C8" w:rsidP="007C59C8">
      <w:pPr>
        <w:rPr>
          <w:rFonts w:cs="Calibri"/>
        </w:rPr>
      </w:pPr>
    </w:p>
    <w:p w14:paraId="480801AB" w14:textId="77777777" w:rsidR="007C59C8" w:rsidRPr="00F32EE9" w:rsidRDefault="007C59C8" w:rsidP="007C59C8">
      <w:pPr>
        <w:rPr>
          <w:rFonts w:cs="Calibri"/>
        </w:rPr>
      </w:pPr>
    </w:p>
    <w:p w14:paraId="621F2472" w14:textId="77777777" w:rsidR="007C59C8" w:rsidRPr="00F32EE9" w:rsidRDefault="007C59C8" w:rsidP="007C59C8">
      <w:pPr>
        <w:rPr>
          <w:rFonts w:cs="Calibri"/>
        </w:rPr>
      </w:pPr>
    </w:p>
    <w:p w14:paraId="4CF5C993" w14:textId="77777777" w:rsidR="007C59C8" w:rsidRPr="00F32EE9" w:rsidRDefault="007C59C8" w:rsidP="007C59C8">
      <w:pPr>
        <w:rPr>
          <w:rFonts w:cs="Calibri"/>
        </w:rPr>
      </w:pPr>
    </w:p>
    <w:p w14:paraId="7E56A0E1" w14:textId="77777777" w:rsidR="007C59C8" w:rsidRPr="00F32EE9" w:rsidRDefault="007C59C8" w:rsidP="007C59C8">
      <w:pPr>
        <w:rPr>
          <w:rFonts w:cs="Calibri"/>
        </w:rPr>
      </w:pPr>
    </w:p>
    <w:p w14:paraId="6EA8EBB0" w14:textId="77777777" w:rsidR="007C59C8" w:rsidRPr="00F32EE9" w:rsidRDefault="007C59C8" w:rsidP="007C59C8">
      <w:pPr>
        <w:rPr>
          <w:rFonts w:cs="Calibri"/>
        </w:rPr>
      </w:pPr>
    </w:p>
    <w:p w14:paraId="15039989" w14:textId="77777777" w:rsidR="004C6003" w:rsidRPr="00F32EE9" w:rsidRDefault="004C6003" w:rsidP="007C59C8">
      <w:pPr>
        <w:rPr>
          <w:rFonts w:cs="Calibri"/>
        </w:rPr>
      </w:pPr>
    </w:p>
    <w:p w14:paraId="766B69A2" w14:textId="77777777" w:rsidR="004C6003" w:rsidRPr="00F32EE9" w:rsidRDefault="004C6003" w:rsidP="007C59C8">
      <w:pPr>
        <w:rPr>
          <w:rFonts w:cs="Calibri"/>
        </w:rPr>
      </w:pPr>
    </w:p>
    <w:p w14:paraId="3CFC229F" w14:textId="74458482" w:rsidR="007C59C8" w:rsidRPr="00F32EE9" w:rsidRDefault="007C59C8" w:rsidP="005A6AE3">
      <w:pPr>
        <w:pStyle w:val="Heading3"/>
        <w:numPr>
          <w:ilvl w:val="0"/>
          <w:numId w:val="16"/>
        </w:numPr>
        <w:ind w:hanging="720"/>
      </w:pPr>
      <w:bookmarkStart w:id="8" w:name="_Toc229059000"/>
      <w:r w:rsidRPr="00F32EE9">
        <w:t>Stage 1: 12 Month ECL</w:t>
      </w:r>
      <w:bookmarkEnd w:id="8"/>
    </w:p>
    <w:p w14:paraId="2CDD2704" w14:textId="7F172635" w:rsidR="007C59C8" w:rsidRPr="00F32EE9" w:rsidRDefault="007C59C8" w:rsidP="007C59C8">
      <w:pPr>
        <w:jc w:val="both"/>
        <w:rPr>
          <w:rFonts w:cs="Calibri"/>
        </w:rPr>
      </w:pPr>
      <w:r w:rsidRPr="00F32EE9">
        <w:rPr>
          <w:rFonts w:cs="Calibri"/>
        </w:rPr>
        <w:t xml:space="preserve">For exposures that have not experienced a significant increase in credit risk since their initial recognition, the </w:t>
      </w:r>
      <w:r w:rsidR="006D083F" w:rsidRPr="00F32EE9">
        <w:rPr>
          <w:rFonts w:cs="Calibri"/>
        </w:rPr>
        <w:t>Company</w:t>
      </w:r>
      <w:r w:rsidRPr="00F32EE9">
        <w:rPr>
          <w:rFonts w:cs="Calibri"/>
        </w:rPr>
        <w:t xml:space="preserve"> recognizes a 12-month Expected Credit Loss (ECL). At </w:t>
      </w:r>
      <w:r w:rsidR="00E560C1" w:rsidRPr="00F32EE9">
        <w:rPr>
          <w:rFonts w:cs="Calibri"/>
        </w:rPr>
        <w:t xml:space="preserve">the </w:t>
      </w:r>
      <w:r w:rsidRPr="00F32EE9">
        <w:rPr>
          <w:rFonts w:cs="Calibri"/>
        </w:rPr>
        <w:t>origination or purchase of a financial instrument, the 12-month ECL is recorded in the profit and loss account, and a corresponding loss allowance is created.</w:t>
      </w:r>
    </w:p>
    <w:p w14:paraId="446F132C" w14:textId="77777777" w:rsidR="000F72B3" w:rsidRPr="00F32EE9" w:rsidRDefault="000F72B3" w:rsidP="007C59C8">
      <w:pPr>
        <w:jc w:val="both"/>
        <w:rPr>
          <w:rFonts w:cs="Calibri"/>
        </w:rPr>
      </w:pPr>
    </w:p>
    <w:p w14:paraId="7580BD1A" w14:textId="184C97CB" w:rsidR="00A869A4" w:rsidRPr="00F32EE9" w:rsidRDefault="00017CBD" w:rsidP="00F235B8">
      <w:pPr>
        <w:jc w:val="center"/>
        <w:rPr>
          <w:rFonts w:cs="Calibri"/>
        </w:rPr>
      </w:pPr>
      <m:oMathPara>
        <m:oMath>
          <m:r>
            <w:rPr>
              <w:rFonts w:ascii="Cambria Math" w:hAnsi="Cambria Math" w:cs="Calibri"/>
            </w:rPr>
            <m:t>ECL=</m:t>
          </m:r>
          <m:sSub>
            <m:sSubPr>
              <m:ctrlPr>
                <w:rPr>
                  <w:rFonts w:ascii="Cambria Math" w:hAnsi="Cambria Math" w:cs="Calibri"/>
                  <w:i/>
                </w:rPr>
              </m:ctrlPr>
            </m:sSubPr>
            <m:e>
              <m:r>
                <w:rPr>
                  <w:rFonts w:ascii="Cambria Math" w:hAnsi="Cambria Math" w:cs="Calibri"/>
                </w:rPr>
                <m:t>PD</m:t>
              </m:r>
            </m:e>
            <m:sub>
              <m:r>
                <w:rPr>
                  <w:rFonts w:ascii="Cambria Math" w:hAnsi="Cambria Math" w:cs="Calibri"/>
                </w:rPr>
                <m:t>12m</m:t>
              </m:r>
            </m:sub>
          </m:sSub>
          <m:r>
            <m:rPr>
              <m:sty m:val="p"/>
            </m:rPr>
            <w:rPr>
              <w:rFonts w:ascii="Cambria Math" w:hAnsi="Cambria Math" w:cs="Calibri"/>
            </w:rPr>
            <m:t>×LGD×EAD</m:t>
          </m:r>
          <m:r>
            <m:rPr>
              <m:sty m:val="p"/>
            </m:rPr>
            <w:rPr>
              <w:rFonts w:ascii="Cambria Math" w:hAnsi="Cambria Math" w:cs="Calibri"/>
            </w:rPr>
            <m:t>×</m:t>
          </m:r>
          <m:r>
            <m:rPr>
              <m:sty m:val="p"/>
            </m:rPr>
            <w:rPr>
              <w:rFonts w:ascii="Cambria Math" w:hAnsi="Cambria Math" w:cs="Calibri"/>
            </w:rPr>
            <m:t>D</m:t>
          </m:r>
        </m:oMath>
      </m:oMathPara>
    </w:p>
    <w:p w14:paraId="0635E0BA" w14:textId="64FE996D" w:rsidR="00024759" w:rsidRPr="00F32EE9" w:rsidRDefault="00307D79" w:rsidP="00024759">
      <w:pPr>
        <w:pStyle w:val="BodyText"/>
        <w:spacing w:before="167" w:after="0"/>
        <w:rPr>
          <w:rFonts w:cs="Calibri"/>
        </w:rPr>
      </w:pPr>
      <w:proofErr w:type="gramStart"/>
      <w:r w:rsidRPr="00F32EE9">
        <w:rPr>
          <w:rFonts w:cs="Calibri"/>
          <w:spacing w:val="-2"/>
        </w:rPr>
        <w:t>Where</w:t>
      </w:r>
      <w:proofErr w:type="gramEnd"/>
      <w:r w:rsidRPr="00F32EE9">
        <w:rPr>
          <w:rFonts w:cs="Calibri"/>
          <w:spacing w:val="-2"/>
        </w:rPr>
        <w:t>,</w:t>
      </w:r>
      <w:r w:rsidR="00024759" w:rsidRPr="00F32EE9">
        <w:rPr>
          <w:rFonts w:cs="Calibri"/>
          <w:b/>
          <w:noProof/>
          <w:sz w:val="20"/>
        </w:rPr>
        <w:t xml:space="preserve"> </w:t>
      </w:r>
    </w:p>
    <w:p w14:paraId="70683F6D" w14:textId="0B0D5F9E" w:rsidR="00024759" w:rsidRPr="00F32EE9" w:rsidRDefault="00024759" w:rsidP="005A6AE3">
      <w:pPr>
        <w:pStyle w:val="BodyText"/>
        <w:numPr>
          <w:ilvl w:val="0"/>
          <w:numId w:val="24"/>
        </w:numPr>
        <w:spacing w:after="0" w:line="379" w:lineRule="auto"/>
        <w:ind w:right="6579"/>
        <w:rPr>
          <w:rFonts w:cs="Calibri"/>
          <w:spacing w:val="40"/>
        </w:rPr>
      </w:pPr>
      <w:r w:rsidRPr="00F32EE9">
        <w:rPr>
          <w:rFonts w:cs="Calibri"/>
          <w:noProof/>
        </w:rPr>
        <mc:AlternateContent>
          <mc:Choice Requires="wps">
            <w:drawing>
              <wp:anchor distT="0" distB="0" distL="0" distR="0" simplePos="0" relativeHeight="251658240" behindDoc="0" locked="0" layoutInCell="1" allowOverlap="1" wp14:anchorId="4FF81946" wp14:editId="0B0E00AD">
                <wp:simplePos x="0" y="0"/>
                <wp:positionH relativeFrom="page">
                  <wp:posOffset>1781555</wp:posOffset>
                </wp:positionH>
                <wp:positionV relativeFrom="paragraph">
                  <wp:posOffset>148133</wp:posOffset>
                </wp:positionV>
                <wp:extent cx="55244" cy="76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7620"/>
                        </a:xfrm>
                        <a:custGeom>
                          <a:avLst/>
                          <a:gdLst/>
                          <a:ahLst/>
                          <a:cxnLst/>
                          <a:rect l="l" t="t" r="r" b="b"/>
                          <a:pathLst>
                            <a:path w="55244" h="7620">
                              <a:moveTo>
                                <a:pt x="53340" y="7620"/>
                              </a:moveTo>
                              <a:lnTo>
                                <a:pt x="1524" y="7620"/>
                              </a:lnTo>
                              <a:lnTo>
                                <a:pt x="0" y="6096"/>
                              </a:lnTo>
                              <a:lnTo>
                                <a:pt x="0" y="0"/>
                              </a:lnTo>
                              <a:lnTo>
                                <a:pt x="54864" y="0"/>
                              </a:lnTo>
                              <a:lnTo>
                                <a:pt x="54864" y="6096"/>
                              </a:lnTo>
                              <a:lnTo>
                                <a:pt x="53340" y="6096"/>
                              </a:lnTo>
                              <a:lnTo>
                                <a:pt x="53340"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16="http://schemas.microsoft.com/office/drawing/2014/main" xmlns:arto="http://schemas.microsoft.com/office/word/2006/arto">
            <w:pict>
              <v:shape id="Graphic 51" style="position:absolute;margin-left:140.3pt;margin-top:11.65pt;width:4.35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244,7620" o:spid="_x0000_s1026" fillcolor="black" stroked="f" path="m53340,7620r-51816,l,6096,,,54864,r,6096l53340,6096r,152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" w14:anchorId="116F4FA3">
                <v:path arrowok="t"/>
                <w10:wrap anchorx="page"/>
              </v:shape>
            </w:pict>
          </mc:Fallback>
        </mc:AlternateContent>
      </w:r>
      <w:r w:rsidRPr="00F32EE9">
        <w:rPr>
          <w:rFonts w:cs="Calibri"/>
        </w:rPr>
        <w:t>PD</w:t>
      </w:r>
      <w:r w:rsidRPr="00F32EE9">
        <w:rPr>
          <w:rFonts w:cs="Calibri"/>
          <w:spacing w:val="-6"/>
        </w:rPr>
        <w:t xml:space="preserve"> </w:t>
      </w:r>
      <w:r w:rsidRPr="00F32EE9">
        <w:rPr>
          <w:rFonts w:cs="Calibri"/>
        </w:rPr>
        <w:t>is</w:t>
      </w:r>
      <w:r w:rsidRPr="00F32EE9">
        <w:rPr>
          <w:rFonts w:cs="Calibri"/>
          <w:spacing w:val="-7"/>
        </w:rPr>
        <w:t xml:space="preserve"> </w:t>
      </w:r>
      <w:r w:rsidRPr="00F32EE9">
        <w:rPr>
          <w:rFonts w:cs="Calibri"/>
        </w:rPr>
        <w:t>1</w:t>
      </w:r>
      <w:r w:rsidRPr="00F32EE9">
        <w:rPr>
          <w:rFonts w:cs="Calibri"/>
          <w:spacing w:val="80"/>
        </w:rPr>
        <w:t xml:space="preserve"> </w:t>
      </w:r>
      <w:r w:rsidRPr="00F32EE9">
        <w:rPr>
          <w:rFonts w:cs="Calibri"/>
        </w:rPr>
        <w:t>Year</w:t>
      </w:r>
      <w:r w:rsidRPr="00F32EE9">
        <w:rPr>
          <w:rFonts w:cs="Calibri"/>
          <w:spacing w:val="-6"/>
        </w:rPr>
        <w:t xml:space="preserve"> </w:t>
      </w:r>
      <w:r w:rsidRPr="00F32EE9">
        <w:rPr>
          <w:rFonts w:cs="Calibri"/>
        </w:rPr>
        <w:t>Probability</w:t>
      </w:r>
      <w:r w:rsidRPr="00F32EE9">
        <w:rPr>
          <w:rFonts w:cs="Calibri"/>
          <w:spacing w:val="-5"/>
        </w:rPr>
        <w:t xml:space="preserve"> </w:t>
      </w:r>
      <w:r w:rsidRPr="00F32EE9">
        <w:rPr>
          <w:rFonts w:cs="Calibri"/>
        </w:rPr>
        <w:t>of</w:t>
      </w:r>
      <w:r w:rsidRPr="00F32EE9">
        <w:rPr>
          <w:rFonts w:cs="Calibri"/>
          <w:spacing w:val="-7"/>
        </w:rPr>
        <w:t xml:space="preserve"> </w:t>
      </w:r>
      <w:r w:rsidRPr="00F32EE9">
        <w:rPr>
          <w:rFonts w:cs="Calibri"/>
        </w:rPr>
        <w:t>Default</w:t>
      </w:r>
      <w:r w:rsidRPr="00F32EE9">
        <w:rPr>
          <w:rFonts w:cs="Calibri"/>
          <w:spacing w:val="40"/>
        </w:rPr>
        <w:t xml:space="preserve"> </w:t>
      </w:r>
    </w:p>
    <w:p w14:paraId="5BFAE3FC" w14:textId="0A26044F" w:rsidR="00024759" w:rsidRPr="00F32EE9" w:rsidRDefault="00024759" w:rsidP="005A6AE3">
      <w:pPr>
        <w:pStyle w:val="BodyText"/>
        <w:numPr>
          <w:ilvl w:val="0"/>
          <w:numId w:val="24"/>
        </w:numPr>
        <w:spacing w:after="0" w:line="379" w:lineRule="auto"/>
        <w:ind w:right="6577"/>
        <w:rPr>
          <w:rFonts w:cs="Calibri"/>
        </w:rPr>
      </w:pPr>
      <w:r w:rsidRPr="00F32EE9">
        <w:rPr>
          <w:rFonts w:cs="Calibri"/>
        </w:rPr>
        <w:t>LGD is Loss Given Default</w:t>
      </w:r>
    </w:p>
    <w:p w14:paraId="7D9D0262" w14:textId="17F214D0" w:rsidR="00110B11" w:rsidRPr="00F32EE9" w:rsidRDefault="00024759" w:rsidP="005A6AE3">
      <w:pPr>
        <w:pStyle w:val="BodyText"/>
        <w:numPr>
          <w:ilvl w:val="0"/>
          <w:numId w:val="24"/>
        </w:numPr>
        <w:spacing w:after="0"/>
        <w:rPr>
          <w:rFonts w:cs="Calibri"/>
          <w:spacing w:val="-4"/>
        </w:rPr>
      </w:pPr>
      <w:r w:rsidRPr="00F32EE9">
        <w:rPr>
          <w:rFonts w:cs="Calibri"/>
        </w:rPr>
        <w:t>EAD</w:t>
      </w:r>
      <w:r w:rsidRPr="00F32EE9">
        <w:rPr>
          <w:rFonts w:cs="Calibri"/>
          <w:spacing w:val="-6"/>
        </w:rPr>
        <w:t xml:space="preserve"> </w:t>
      </w:r>
      <w:r w:rsidRPr="00F32EE9">
        <w:rPr>
          <w:rFonts w:cs="Calibri"/>
        </w:rPr>
        <w:t>is</w:t>
      </w:r>
      <w:r w:rsidRPr="00F32EE9">
        <w:rPr>
          <w:rFonts w:cs="Calibri"/>
          <w:spacing w:val="-4"/>
        </w:rPr>
        <w:t xml:space="preserve"> </w:t>
      </w:r>
      <w:r w:rsidRPr="00F32EE9">
        <w:rPr>
          <w:rFonts w:cs="Calibri"/>
        </w:rPr>
        <w:t>Exposure</w:t>
      </w:r>
      <w:r w:rsidRPr="00F32EE9">
        <w:rPr>
          <w:rFonts w:cs="Calibri"/>
          <w:spacing w:val="-5"/>
        </w:rPr>
        <w:t xml:space="preserve"> </w:t>
      </w:r>
      <w:r w:rsidRPr="00F32EE9">
        <w:rPr>
          <w:rFonts w:cs="Calibri"/>
        </w:rPr>
        <w:t>at</w:t>
      </w:r>
      <w:r w:rsidRPr="00F32EE9">
        <w:rPr>
          <w:rFonts w:cs="Calibri"/>
          <w:spacing w:val="-5"/>
        </w:rPr>
        <w:t xml:space="preserve"> </w:t>
      </w:r>
      <w:r w:rsidRPr="00F32EE9">
        <w:rPr>
          <w:rFonts w:cs="Calibri"/>
        </w:rPr>
        <w:t>Default</w:t>
      </w:r>
      <w:r w:rsidRPr="00F32EE9">
        <w:rPr>
          <w:rFonts w:cs="Calibri"/>
          <w:spacing w:val="-3"/>
        </w:rPr>
        <w:t xml:space="preserve"> </w:t>
      </w:r>
      <w:r w:rsidRPr="00F32EE9">
        <w:rPr>
          <w:rFonts w:cs="Calibri"/>
        </w:rPr>
        <w:t>on</w:t>
      </w:r>
      <w:r w:rsidRPr="00F32EE9">
        <w:rPr>
          <w:rFonts w:cs="Calibri"/>
          <w:spacing w:val="-8"/>
        </w:rPr>
        <w:t xml:space="preserve"> </w:t>
      </w:r>
      <w:r w:rsidRPr="00F32EE9">
        <w:rPr>
          <w:rFonts w:cs="Calibri"/>
        </w:rPr>
        <w:t>Reporting</w:t>
      </w:r>
      <w:r w:rsidRPr="00F32EE9">
        <w:rPr>
          <w:rFonts w:cs="Calibri"/>
          <w:spacing w:val="-5"/>
        </w:rPr>
        <w:t xml:space="preserve"> </w:t>
      </w:r>
      <w:r w:rsidRPr="00F32EE9">
        <w:rPr>
          <w:rFonts w:cs="Calibri"/>
          <w:spacing w:val="-4"/>
        </w:rPr>
        <w:t>Date</w:t>
      </w:r>
    </w:p>
    <w:p w14:paraId="6D842341" w14:textId="72EEA840" w:rsidR="00024759" w:rsidRPr="00F32EE9" w:rsidRDefault="009C6A6A" w:rsidP="005A6AE3">
      <w:pPr>
        <w:pStyle w:val="font-claude-response-body"/>
        <w:numPr>
          <w:ilvl w:val="0"/>
          <w:numId w:val="24"/>
        </w:numPr>
        <w:rPr>
          <w:rFonts w:asciiTheme="majorHAnsi" w:hAnsiTheme="majorHAnsi" w:cstheme="majorHAnsi"/>
          <w:sz w:val="22"/>
          <w:szCs w:val="22"/>
          <w:lang w:val="en-US"/>
        </w:rPr>
      </w:pPr>
      <w:r w:rsidRPr="00F32EE9">
        <w:rPr>
          <w:rStyle w:val="Strong"/>
          <w:rFonts w:asciiTheme="majorHAnsi" w:hAnsiTheme="majorHAnsi" w:cstheme="majorHAnsi"/>
          <w:b w:val="0"/>
          <w:bCs w:val="0"/>
          <w:sz w:val="22"/>
          <w:szCs w:val="22"/>
        </w:rPr>
        <w:t>D is the</w:t>
      </w:r>
      <w:r w:rsidRPr="00F32EE9">
        <w:rPr>
          <w:rFonts w:asciiTheme="majorHAnsi" w:hAnsiTheme="majorHAnsi" w:cstheme="majorHAnsi"/>
          <w:sz w:val="22"/>
          <w:szCs w:val="22"/>
          <w:lang w:val="en-US"/>
        </w:rPr>
        <w:t xml:space="preserve"> discount factor at time </w:t>
      </w:r>
      <w:r w:rsidRPr="00F32EE9">
        <w:rPr>
          <w:rFonts w:asciiTheme="majorHAnsi" w:hAnsiTheme="majorHAnsi" w:cstheme="majorHAnsi"/>
          <w:i/>
          <w:iCs/>
          <w:sz w:val="22"/>
          <w:szCs w:val="22"/>
          <w:lang w:val="en-US"/>
        </w:rPr>
        <w:t>t</w:t>
      </w:r>
      <w:r w:rsidRPr="00F32EE9">
        <w:rPr>
          <w:rFonts w:asciiTheme="majorHAnsi" w:hAnsiTheme="majorHAnsi" w:cstheme="majorHAnsi"/>
          <w:sz w:val="22"/>
          <w:szCs w:val="22"/>
          <w:lang w:val="en-US"/>
        </w:rPr>
        <w:t>.</w:t>
      </w:r>
    </w:p>
    <w:p w14:paraId="39BCC41A" w14:textId="60655649" w:rsidR="00024759" w:rsidRPr="00F32EE9" w:rsidRDefault="00024759" w:rsidP="005A6AE3">
      <w:pPr>
        <w:pStyle w:val="Heading3"/>
        <w:numPr>
          <w:ilvl w:val="0"/>
          <w:numId w:val="16"/>
        </w:numPr>
        <w:tabs>
          <w:tab w:val="left" w:pos="720"/>
        </w:tabs>
        <w:ind w:hanging="720"/>
      </w:pPr>
      <w:r w:rsidRPr="00F32EE9">
        <w:t xml:space="preserve"> </w:t>
      </w:r>
      <w:bookmarkStart w:id="9" w:name="_Toc229059001"/>
      <w:r w:rsidRPr="00F32EE9">
        <w:t>Stage 2: Lifetime ECL</w:t>
      </w:r>
      <w:bookmarkEnd w:id="9"/>
    </w:p>
    <w:p w14:paraId="75F4570F" w14:textId="1EC08AF7" w:rsidR="00024759" w:rsidRPr="00F32EE9" w:rsidRDefault="00024759" w:rsidP="00B92E11">
      <w:pPr>
        <w:pStyle w:val="BodyText"/>
        <w:spacing w:before="2" w:after="0"/>
        <w:jc w:val="both"/>
        <w:rPr>
          <w:rFonts w:asciiTheme="majorHAnsi" w:hAnsiTheme="majorHAnsi" w:cstheme="majorHAnsi"/>
        </w:rPr>
      </w:pPr>
      <w:r w:rsidRPr="00F32EE9">
        <w:rPr>
          <w:rFonts w:asciiTheme="majorHAnsi" w:hAnsiTheme="majorHAnsi" w:cstheme="majorHAnsi"/>
        </w:rPr>
        <w:t xml:space="preserve">For credit exposures that have experienced a significant increase in credit risk (SICR) since initial recognition, but are not yet classified as credit-impaired, the </w:t>
      </w:r>
      <w:r w:rsidR="00BC0C3A" w:rsidRPr="00F32EE9">
        <w:rPr>
          <w:rFonts w:asciiTheme="majorHAnsi" w:hAnsiTheme="majorHAnsi" w:cstheme="majorHAnsi"/>
        </w:rPr>
        <w:t>Company</w:t>
      </w:r>
      <w:r w:rsidRPr="00F32EE9">
        <w:rPr>
          <w:rFonts w:asciiTheme="majorHAnsi" w:hAnsiTheme="majorHAnsi" w:cstheme="majorHAnsi"/>
        </w:rPr>
        <w:t xml:space="preserve"> is required to recognize lifetime Expected Credit Losses (ECL). This assessment is particularly important for longer-tenor portfolios, where movements in credit risk can materially affect </w:t>
      </w:r>
      <w:r w:rsidRPr="00F32EE9">
        <w:rPr>
          <w:rFonts w:asciiTheme="majorHAnsi" w:hAnsiTheme="majorHAnsi" w:cstheme="majorHAnsi"/>
        </w:rPr>
        <w:lastRenderedPageBreak/>
        <w:t>reported earnings and equity. Once exposure shows a significant deterioration in credit quality and can no longer be regarded as low credit risk, the full lifetime ECL must be recognized.</w:t>
      </w:r>
    </w:p>
    <w:p w14:paraId="31969870" w14:textId="2C695DAB" w:rsidR="001C193F" w:rsidRPr="00F32EE9" w:rsidRDefault="001C193F" w:rsidP="00024759">
      <w:pPr>
        <w:pStyle w:val="BodyText"/>
        <w:spacing w:before="2" w:after="0"/>
        <w:rPr>
          <w:rFonts w:asciiTheme="majorHAnsi" w:hAnsiTheme="majorHAnsi" w:cstheme="majorHAnsi"/>
        </w:rPr>
      </w:pPr>
    </w:p>
    <w:p w14:paraId="0E2B3F9A" w14:textId="18A63BEF" w:rsidR="004153BE" w:rsidRPr="00F32EE9" w:rsidRDefault="00017CBD" w:rsidP="00CC169F">
      <w:pPr>
        <w:jc w:val="center"/>
        <w:rPr>
          <w:rFonts w:cs="Calibri"/>
        </w:rPr>
      </w:pPr>
      <m:oMathPara>
        <m:oMath>
          <m:r>
            <w:rPr>
              <w:rFonts w:ascii="Cambria Math" w:hAnsi="Cambria Math" w:cs="Calibri"/>
            </w:rPr>
            <m:t>ECL=</m:t>
          </m:r>
          <m:sSub>
            <m:sSubPr>
              <m:ctrlPr>
                <w:rPr>
                  <w:rFonts w:ascii="Cambria Math" w:hAnsi="Cambria Math" w:cs="Calibri"/>
                  <w:i/>
                </w:rPr>
              </m:ctrlPr>
            </m:sSubPr>
            <m:e>
              <m:r>
                <w:rPr>
                  <w:rFonts w:ascii="Cambria Math" w:hAnsi="Cambria Math" w:cs="Calibri"/>
                </w:rPr>
                <m:t>PD</m:t>
              </m:r>
            </m:e>
            <m:sub>
              <m:r>
                <w:rPr>
                  <w:rFonts w:ascii="Cambria Math" w:hAnsi="Cambria Math" w:cs="Calibri"/>
                </w:rPr>
                <m:t>lifetime</m:t>
              </m:r>
            </m:sub>
          </m:sSub>
          <m:r>
            <m:rPr>
              <m:sty m:val="p"/>
            </m:rPr>
            <w:rPr>
              <w:rFonts w:ascii="Cambria Math" w:hAnsi="Cambria Math" w:cs="Calibri"/>
            </w:rPr>
            <m:t>×LGD×EAD</m:t>
          </m:r>
          <m:r>
            <m:rPr>
              <m:sty m:val="p"/>
            </m:rPr>
            <w:rPr>
              <w:rFonts w:ascii="Cambria Math" w:hAnsi="Cambria Math" w:cs="Calibri"/>
            </w:rPr>
            <m:t>×</m:t>
          </m:r>
          <m:r>
            <m:rPr>
              <m:sty m:val="p"/>
            </m:rPr>
            <w:rPr>
              <w:rFonts w:ascii="Cambria Math" w:hAnsi="Cambria Math" w:cs="Calibri"/>
            </w:rPr>
            <m:t>D</m:t>
          </m:r>
        </m:oMath>
      </m:oMathPara>
    </w:p>
    <w:p w14:paraId="649B84AB" w14:textId="59D8C48E" w:rsidR="00024759" w:rsidRPr="00F32EE9" w:rsidRDefault="00512719" w:rsidP="00024759">
      <w:pPr>
        <w:pStyle w:val="BodyText"/>
        <w:spacing w:before="159"/>
        <w:rPr>
          <w:rFonts w:cs="Calibri"/>
        </w:rPr>
      </w:pPr>
      <w:proofErr w:type="gramStart"/>
      <w:r w:rsidRPr="00F32EE9">
        <w:rPr>
          <w:rFonts w:cs="Calibri"/>
          <w:spacing w:val="-2"/>
        </w:rPr>
        <w:t>Where</w:t>
      </w:r>
      <w:proofErr w:type="gramEnd"/>
      <w:r w:rsidRPr="00F32EE9">
        <w:rPr>
          <w:rFonts w:cs="Calibri"/>
          <w:spacing w:val="-2"/>
        </w:rPr>
        <w:t>,</w:t>
      </w:r>
    </w:p>
    <w:p w14:paraId="241A691C" w14:textId="0A20BA19" w:rsidR="00024759" w:rsidRPr="00F32EE9" w:rsidRDefault="00024759" w:rsidP="005A6AE3">
      <w:pPr>
        <w:pStyle w:val="BodyText"/>
        <w:numPr>
          <w:ilvl w:val="0"/>
          <w:numId w:val="22"/>
        </w:numPr>
        <w:spacing w:before="158" w:after="0"/>
        <w:ind w:right="6579"/>
        <w:rPr>
          <w:rFonts w:cs="Calibri"/>
          <w:spacing w:val="40"/>
        </w:rPr>
      </w:pPr>
      <w:r w:rsidRPr="00F32EE9">
        <w:rPr>
          <w:rFonts w:cs="Calibri"/>
        </w:rPr>
        <w:t>PD</w:t>
      </w:r>
      <w:r w:rsidRPr="00F32EE9">
        <w:rPr>
          <w:rFonts w:cs="Calibri"/>
          <w:spacing w:val="-10"/>
        </w:rPr>
        <w:t xml:space="preserve"> </w:t>
      </w:r>
      <w:r w:rsidRPr="00F32EE9">
        <w:rPr>
          <w:rFonts w:cs="Calibri"/>
        </w:rPr>
        <w:t>is</w:t>
      </w:r>
      <w:r w:rsidRPr="00F32EE9">
        <w:rPr>
          <w:rFonts w:cs="Calibri"/>
          <w:spacing w:val="-10"/>
        </w:rPr>
        <w:t xml:space="preserve"> </w:t>
      </w:r>
      <w:r w:rsidR="00E560C1" w:rsidRPr="00F32EE9">
        <w:rPr>
          <w:rFonts w:cs="Calibri"/>
          <w:spacing w:val="-10"/>
        </w:rPr>
        <w:t xml:space="preserve">the </w:t>
      </w:r>
      <w:r w:rsidRPr="00F32EE9">
        <w:rPr>
          <w:rFonts w:cs="Calibri"/>
        </w:rPr>
        <w:t>Lifetime</w:t>
      </w:r>
      <w:r w:rsidRPr="00F32EE9">
        <w:rPr>
          <w:rFonts w:cs="Calibri"/>
          <w:spacing w:val="-9"/>
        </w:rPr>
        <w:t xml:space="preserve"> </w:t>
      </w:r>
      <w:r w:rsidRPr="00F32EE9">
        <w:rPr>
          <w:rFonts w:cs="Calibri"/>
        </w:rPr>
        <w:t>Probability</w:t>
      </w:r>
      <w:r w:rsidRPr="00F32EE9">
        <w:rPr>
          <w:rFonts w:cs="Calibri"/>
          <w:spacing w:val="-10"/>
        </w:rPr>
        <w:t xml:space="preserve"> </w:t>
      </w:r>
      <w:r w:rsidRPr="00F32EE9">
        <w:rPr>
          <w:rFonts w:cs="Calibri"/>
        </w:rPr>
        <w:t>of</w:t>
      </w:r>
      <w:r w:rsidRPr="00F32EE9">
        <w:rPr>
          <w:rFonts w:cs="Calibri"/>
          <w:spacing w:val="-10"/>
        </w:rPr>
        <w:t xml:space="preserve"> </w:t>
      </w:r>
      <w:r w:rsidRPr="00F32EE9">
        <w:rPr>
          <w:rFonts w:cs="Calibri"/>
        </w:rPr>
        <w:t>Default</w:t>
      </w:r>
      <w:r w:rsidRPr="00F32EE9">
        <w:rPr>
          <w:rFonts w:cs="Calibri"/>
          <w:spacing w:val="40"/>
        </w:rPr>
        <w:t xml:space="preserve"> </w:t>
      </w:r>
    </w:p>
    <w:p w14:paraId="3D3D7B00" w14:textId="0F72B14B" w:rsidR="00024759" w:rsidRPr="00F32EE9" w:rsidRDefault="00024759" w:rsidP="005A6AE3">
      <w:pPr>
        <w:pStyle w:val="BodyText"/>
        <w:numPr>
          <w:ilvl w:val="0"/>
          <w:numId w:val="22"/>
        </w:numPr>
        <w:spacing w:after="0"/>
        <w:ind w:right="6577"/>
        <w:rPr>
          <w:rFonts w:cs="Calibri"/>
        </w:rPr>
      </w:pPr>
      <w:r w:rsidRPr="00F32EE9">
        <w:rPr>
          <w:rFonts w:cs="Calibri"/>
        </w:rPr>
        <w:t xml:space="preserve">LGD is </w:t>
      </w:r>
      <w:r w:rsidR="00E560C1" w:rsidRPr="00F32EE9">
        <w:rPr>
          <w:rFonts w:cs="Calibri"/>
        </w:rPr>
        <w:t xml:space="preserve">the </w:t>
      </w:r>
      <w:r w:rsidRPr="00F32EE9">
        <w:rPr>
          <w:rFonts w:cs="Calibri"/>
        </w:rPr>
        <w:t>Loss Given Default</w:t>
      </w:r>
    </w:p>
    <w:p w14:paraId="32F913F1" w14:textId="2D93856F" w:rsidR="00C21B15" w:rsidRPr="00F32EE9" w:rsidRDefault="00024759" w:rsidP="005A6AE3">
      <w:pPr>
        <w:pStyle w:val="BodyText"/>
        <w:numPr>
          <w:ilvl w:val="0"/>
          <w:numId w:val="22"/>
        </w:numPr>
        <w:spacing w:after="0"/>
        <w:rPr>
          <w:rFonts w:cs="Calibri"/>
        </w:rPr>
      </w:pPr>
      <w:r w:rsidRPr="00F32EE9">
        <w:rPr>
          <w:rFonts w:cs="Calibri"/>
        </w:rPr>
        <w:t>EAD</w:t>
      </w:r>
      <w:r w:rsidRPr="00F32EE9">
        <w:rPr>
          <w:rFonts w:cs="Calibri"/>
          <w:spacing w:val="-6"/>
        </w:rPr>
        <w:t xml:space="preserve"> </w:t>
      </w:r>
      <w:r w:rsidRPr="00F32EE9">
        <w:rPr>
          <w:rFonts w:cs="Calibri"/>
        </w:rPr>
        <w:t>is</w:t>
      </w:r>
      <w:r w:rsidRPr="00F32EE9">
        <w:rPr>
          <w:rFonts w:cs="Calibri"/>
          <w:spacing w:val="-4"/>
        </w:rPr>
        <w:t xml:space="preserve"> </w:t>
      </w:r>
      <w:r w:rsidR="00E560C1" w:rsidRPr="00F32EE9">
        <w:rPr>
          <w:rFonts w:cs="Calibri"/>
          <w:spacing w:val="-4"/>
        </w:rPr>
        <w:t xml:space="preserve">the </w:t>
      </w:r>
      <w:r w:rsidRPr="00F32EE9">
        <w:rPr>
          <w:rFonts w:cs="Calibri"/>
        </w:rPr>
        <w:t>Lifetime</w:t>
      </w:r>
      <w:r w:rsidRPr="00F32EE9">
        <w:rPr>
          <w:rFonts w:cs="Calibri"/>
          <w:spacing w:val="-5"/>
        </w:rPr>
        <w:t xml:space="preserve"> </w:t>
      </w:r>
      <w:r w:rsidRPr="00F32EE9">
        <w:rPr>
          <w:rFonts w:cs="Calibri"/>
        </w:rPr>
        <w:t>Exposure</w:t>
      </w:r>
      <w:r w:rsidRPr="00F32EE9">
        <w:rPr>
          <w:rFonts w:cs="Calibri"/>
          <w:spacing w:val="-5"/>
        </w:rPr>
        <w:t xml:space="preserve"> </w:t>
      </w:r>
      <w:r w:rsidRPr="00F32EE9">
        <w:rPr>
          <w:rFonts w:cs="Calibri"/>
        </w:rPr>
        <w:t>at</w:t>
      </w:r>
      <w:r w:rsidRPr="00F32EE9">
        <w:rPr>
          <w:rFonts w:cs="Calibri"/>
          <w:spacing w:val="-4"/>
        </w:rPr>
        <w:t xml:space="preserve"> </w:t>
      </w:r>
      <w:r w:rsidRPr="00F32EE9">
        <w:rPr>
          <w:rFonts w:cs="Calibri"/>
          <w:spacing w:val="-2"/>
        </w:rPr>
        <w:t>Default</w:t>
      </w:r>
    </w:p>
    <w:p w14:paraId="4C3D596E" w14:textId="4C922572" w:rsidR="0012254D" w:rsidRPr="00F32EE9" w:rsidRDefault="00CA78D8" w:rsidP="005A6AE3">
      <w:pPr>
        <w:pStyle w:val="font-claude-response-body"/>
        <w:numPr>
          <w:ilvl w:val="0"/>
          <w:numId w:val="22"/>
        </w:numPr>
        <w:rPr>
          <w:rFonts w:asciiTheme="majorHAnsi" w:hAnsiTheme="majorHAnsi" w:cstheme="majorHAnsi"/>
          <w:sz w:val="22"/>
          <w:szCs w:val="22"/>
          <w:lang w:val="en-US"/>
        </w:rPr>
      </w:pPr>
      <w:r w:rsidRPr="00F32EE9">
        <w:rPr>
          <w:rStyle w:val="Strong"/>
          <w:rFonts w:asciiTheme="majorHAnsi" w:hAnsiTheme="majorHAnsi" w:cstheme="majorHAnsi"/>
          <w:b w:val="0"/>
          <w:bCs w:val="0"/>
          <w:sz w:val="22"/>
          <w:szCs w:val="22"/>
        </w:rPr>
        <w:t xml:space="preserve">D </w:t>
      </w:r>
      <w:r w:rsidRPr="00F32EE9">
        <w:rPr>
          <w:rStyle w:val="Strong"/>
          <w:rFonts w:asciiTheme="majorHAnsi" w:hAnsiTheme="majorHAnsi" w:cstheme="majorHAnsi"/>
          <w:b w:val="0"/>
          <w:bCs w:val="0"/>
          <w:sz w:val="22"/>
          <w:szCs w:val="22"/>
        </w:rPr>
        <w:t>is the</w:t>
      </w:r>
      <w:r w:rsidRPr="00F32EE9">
        <w:rPr>
          <w:rFonts w:asciiTheme="majorHAnsi" w:hAnsiTheme="majorHAnsi" w:cstheme="majorHAnsi"/>
          <w:sz w:val="22"/>
          <w:szCs w:val="22"/>
          <w:lang w:val="en-US"/>
        </w:rPr>
        <w:t xml:space="preserve"> discount factor at time </w:t>
      </w:r>
      <w:r w:rsidRPr="00F32EE9">
        <w:rPr>
          <w:rFonts w:asciiTheme="majorHAnsi" w:hAnsiTheme="majorHAnsi" w:cstheme="majorHAnsi"/>
          <w:i/>
          <w:iCs/>
          <w:sz w:val="22"/>
          <w:szCs w:val="22"/>
          <w:lang w:val="en-US"/>
        </w:rPr>
        <w:t>t</w:t>
      </w:r>
      <w:r w:rsidRPr="00F32EE9">
        <w:rPr>
          <w:rFonts w:asciiTheme="majorHAnsi" w:hAnsiTheme="majorHAnsi" w:cstheme="majorHAnsi"/>
          <w:sz w:val="22"/>
          <w:szCs w:val="22"/>
          <w:lang w:val="en-US"/>
        </w:rPr>
        <w:t>.</w:t>
      </w:r>
    </w:p>
    <w:p w14:paraId="7D6F3460" w14:textId="4F070C72" w:rsidR="00F43743" w:rsidRPr="00F32EE9" w:rsidRDefault="00F43743" w:rsidP="005A6AE3">
      <w:pPr>
        <w:pStyle w:val="Heading3"/>
        <w:numPr>
          <w:ilvl w:val="0"/>
          <w:numId w:val="16"/>
        </w:numPr>
        <w:ind w:hanging="720"/>
      </w:pPr>
      <w:r w:rsidRPr="00F32EE9">
        <w:t xml:space="preserve"> </w:t>
      </w:r>
      <w:bookmarkStart w:id="10" w:name="_Toc229059002"/>
      <w:r w:rsidRPr="00F32EE9">
        <w:t>Stage 3: Lifetime ECL</w:t>
      </w:r>
      <w:bookmarkEnd w:id="10"/>
    </w:p>
    <w:p w14:paraId="2DD2E886" w14:textId="5B9FFB5F" w:rsidR="00D03078" w:rsidRPr="00F32EE9" w:rsidRDefault="00336A55" w:rsidP="006A0DB0">
      <w:pPr>
        <w:pStyle w:val="BodyText"/>
        <w:spacing w:before="30" w:after="0"/>
        <w:jc w:val="both"/>
        <w:rPr>
          <w:rFonts w:cs="Calibri"/>
        </w:rPr>
      </w:pPr>
      <w:r w:rsidRPr="00F32EE9">
        <w:rPr>
          <w:rFonts w:cs="Calibri"/>
        </w:rPr>
        <w:t xml:space="preserve">A financial asset is considered </w:t>
      </w:r>
      <w:r w:rsidRPr="00F32EE9">
        <w:rPr>
          <w:rFonts w:cs="Calibri"/>
          <w:b/>
          <w:bCs/>
        </w:rPr>
        <w:t>credit-impaired</w:t>
      </w:r>
      <w:r w:rsidRPr="00F32EE9">
        <w:rPr>
          <w:rFonts w:cs="Calibri"/>
        </w:rPr>
        <w:t xml:space="preserve"> when one or more events occur that are expected to have an adverse effect on its estimated future cash </w:t>
      </w:r>
      <w:r w:rsidR="001209E9" w:rsidRPr="00F32EE9">
        <w:rPr>
          <w:rFonts w:cs="Calibri"/>
        </w:rPr>
        <w:t>flow</w:t>
      </w:r>
      <w:r w:rsidRPr="00F32EE9">
        <w:rPr>
          <w:rFonts w:cs="Calibri"/>
        </w:rPr>
        <w:t xml:space="preserve">. For such credit-impaired assets, the </w:t>
      </w:r>
      <w:r w:rsidR="00BC0C3A" w:rsidRPr="00F32EE9">
        <w:rPr>
          <w:rFonts w:cs="Calibri"/>
        </w:rPr>
        <w:t>Company</w:t>
      </w:r>
      <w:r w:rsidRPr="00F32EE9">
        <w:rPr>
          <w:rFonts w:cs="Calibri"/>
        </w:rPr>
        <w:t xml:space="preserve"> recognizes a </w:t>
      </w:r>
      <w:r w:rsidRPr="00F32EE9">
        <w:rPr>
          <w:rFonts w:cs="Calibri"/>
          <w:b/>
          <w:bCs/>
        </w:rPr>
        <w:t>lifetime Expected Credit Loss (ECL)</w:t>
      </w:r>
      <w:r w:rsidRPr="00F32EE9">
        <w:rPr>
          <w:rFonts w:cs="Calibri"/>
        </w:rPr>
        <w:t>.</w:t>
      </w:r>
    </w:p>
    <w:p w14:paraId="35CB2FCC" w14:textId="77777777" w:rsidR="00E46940" w:rsidRPr="00F32EE9" w:rsidRDefault="00E46940" w:rsidP="006A0DB0">
      <w:pPr>
        <w:pStyle w:val="BodyText"/>
        <w:spacing w:before="30" w:after="0"/>
        <w:jc w:val="both"/>
        <w:rPr>
          <w:rFonts w:cs="Calibri"/>
        </w:rPr>
      </w:pPr>
    </w:p>
    <w:p w14:paraId="2DB2F95F" w14:textId="10D4644F" w:rsidR="001F60F0" w:rsidRPr="00F32EE9" w:rsidRDefault="00D227B0" w:rsidP="006A0DB0">
      <w:pPr>
        <w:pStyle w:val="BodyText"/>
        <w:spacing w:before="30" w:after="0"/>
        <w:jc w:val="both"/>
        <w:rPr>
          <w:rFonts w:cs="Calibri"/>
        </w:rPr>
      </w:pPr>
      <w:r w:rsidRPr="00F32EE9">
        <w:rPr>
          <w:rFonts w:cs="Calibri"/>
        </w:rPr>
        <w:t>Additionally, borrowers who are tagged as “One Time Restructured (OTR)” are classified as Stage 3, irrespective of the present DPD status.</w:t>
      </w:r>
    </w:p>
    <w:p w14:paraId="1D20EDF8" w14:textId="45E8DD53" w:rsidR="00D03078" w:rsidRPr="00F32EE9" w:rsidRDefault="00A864B0" w:rsidP="005A6AE3">
      <w:pPr>
        <w:pStyle w:val="Heading2"/>
        <w:numPr>
          <w:ilvl w:val="0"/>
          <w:numId w:val="15"/>
        </w:numPr>
        <w:ind w:hanging="720"/>
      </w:pPr>
      <w:bookmarkStart w:id="11" w:name="_Toc229059003"/>
      <w:r w:rsidRPr="00F32EE9">
        <w:t xml:space="preserve">Probability Weighted </w:t>
      </w:r>
      <w:r w:rsidR="00296271" w:rsidRPr="00F32EE9">
        <w:t>ECL Scenario</w:t>
      </w:r>
      <w:bookmarkEnd w:id="11"/>
      <w:r w:rsidR="00296271" w:rsidRPr="00F32EE9">
        <w:t xml:space="preserve"> </w:t>
      </w:r>
    </w:p>
    <w:p w14:paraId="2FBF3151" w14:textId="6A3DA484" w:rsidR="00BF4178" w:rsidRPr="00F32EE9" w:rsidRDefault="00BF4178" w:rsidP="001209E9">
      <w:pPr>
        <w:pStyle w:val="BodyText"/>
        <w:spacing w:after="0"/>
        <w:jc w:val="both"/>
        <w:rPr>
          <w:rFonts w:cs="Calibri"/>
        </w:rPr>
      </w:pPr>
      <w:r w:rsidRPr="00F32EE9">
        <w:rPr>
          <w:rFonts w:cs="Calibri"/>
        </w:rPr>
        <w:t xml:space="preserve">In line with the requirements of </w:t>
      </w:r>
      <w:r w:rsidR="006A3CEE" w:rsidRPr="00F32EE9">
        <w:rPr>
          <w:rFonts w:cs="Calibri"/>
        </w:rPr>
        <w:t>I</w:t>
      </w:r>
      <w:r w:rsidR="00D875B2" w:rsidRPr="00F32EE9">
        <w:rPr>
          <w:rFonts w:cs="Calibri"/>
        </w:rPr>
        <w:t>nd</w:t>
      </w:r>
      <w:r w:rsidR="00F6674E" w:rsidRPr="00F32EE9">
        <w:rPr>
          <w:rFonts w:cs="Calibri"/>
        </w:rPr>
        <w:t xml:space="preserve"> AS 10</w:t>
      </w:r>
      <w:r w:rsidR="006A3CEE" w:rsidRPr="00F32EE9">
        <w:rPr>
          <w:rFonts w:cs="Calibri"/>
        </w:rPr>
        <w:t>9</w:t>
      </w:r>
      <w:r w:rsidRPr="00F32EE9">
        <w:rPr>
          <w:rFonts w:cs="Calibri"/>
        </w:rPr>
        <w:t xml:space="preserve">, the </w:t>
      </w:r>
      <w:r w:rsidR="00F5627D" w:rsidRPr="00F32EE9">
        <w:rPr>
          <w:rFonts w:cs="Calibri"/>
        </w:rPr>
        <w:t>Company</w:t>
      </w:r>
      <w:r w:rsidRPr="00F32EE9">
        <w:rPr>
          <w:rFonts w:cs="Calibri"/>
        </w:rPr>
        <w:t xml:space="preserve"> estimates Expected Credit Losses (ECL) using a probability-weighted, multiple-scenario approach. The framework incorporates three distinct macroeconomic scenarios:</w:t>
      </w:r>
    </w:p>
    <w:p w14:paraId="54D3C9AA" w14:textId="77777777" w:rsidR="00BF4178" w:rsidRPr="00F32EE9" w:rsidRDefault="00BF4178" w:rsidP="001209E9">
      <w:pPr>
        <w:pStyle w:val="BodyText"/>
        <w:spacing w:after="0"/>
        <w:jc w:val="both"/>
        <w:rPr>
          <w:rFonts w:cs="Calibri"/>
        </w:rPr>
      </w:pPr>
    </w:p>
    <w:p w14:paraId="5BEC6568" w14:textId="77777777" w:rsidR="00BF4178" w:rsidRPr="00F32EE9" w:rsidRDefault="00BF4178" w:rsidP="008D190E">
      <w:pPr>
        <w:pStyle w:val="BodyText"/>
        <w:numPr>
          <w:ilvl w:val="0"/>
          <w:numId w:val="8"/>
        </w:numPr>
        <w:spacing w:after="0"/>
        <w:ind w:left="360"/>
        <w:jc w:val="both"/>
        <w:rPr>
          <w:rFonts w:cs="Calibri"/>
          <w:b/>
          <w:bCs/>
        </w:rPr>
      </w:pPr>
      <w:r w:rsidRPr="00F32EE9">
        <w:rPr>
          <w:rFonts w:cs="Calibri"/>
          <w:b/>
          <w:bCs/>
        </w:rPr>
        <w:t>Scenario 1 – Base Case</w:t>
      </w:r>
    </w:p>
    <w:p w14:paraId="16FB4124" w14:textId="77777777" w:rsidR="00BF4178" w:rsidRPr="00F32EE9" w:rsidRDefault="00BF4178" w:rsidP="001209E9">
      <w:pPr>
        <w:pStyle w:val="BodyText"/>
        <w:spacing w:after="0"/>
        <w:ind w:left="360"/>
        <w:jc w:val="both"/>
        <w:rPr>
          <w:rFonts w:cs="Calibri"/>
        </w:rPr>
      </w:pPr>
      <w:r w:rsidRPr="00F32EE9">
        <w:rPr>
          <w:rFonts w:cs="Calibri"/>
        </w:rPr>
        <w:t>This scenario reflects the central macroeconomic forecast, sourced from external agencies, without any adjustments. It carries the highest probability weight among all scenarios.</w:t>
      </w:r>
    </w:p>
    <w:p w14:paraId="3FFECD4E" w14:textId="77777777" w:rsidR="00BF4178" w:rsidRPr="00F32EE9" w:rsidRDefault="00BF4178" w:rsidP="001209E9">
      <w:pPr>
        <w:pStyle w:val="BodyText"/>
        <w:spacing w:after="0"/>
        <w:jc w:val="both"/>
        <w:rPr>
          <w:rFonts w:cs="Calibri"/>
        </w:rPr>
      </w:pPr>
    </w:p>
    <w:p w14:paraId="2D171143" w14:textId="77777777" w:rsidR="00BF4178" w:rsidRPr="00F32EE9" w:rsidRDefault="00BF4178" w:rsidP="008D190E">
      <w:pPr>
        <w:pStyle w:val="BodyText"/>
        <w:numPr>
          <w:ilvl w:val="0"/>
          <w:numId w:val="8"/>
        </w:numPr>
        <w:spacing w:after="0"/>
        <w:ind w:left="360"/>
        <w:jc w:val="both"/>
        <w:rPr>
          <w:rFonts w:cs="Calibri"/>
          <w:b/>
          <w:bCs/>
        </w:rPr>
      </w:pPr>
      <w:r w:rsidRPr="00F32EE9">
        <w:rPr>
          <w:rFonts w:cs="Calibri"/>
          <w:b/>
          <w:bCs/>
        </w:rPr>
        <w:t>Scenario 2 – Improved Case</w:t>
      </w:r>
    </w:p>
    <w:p w14:paraId="68FE0EB4" w14:textId="77777777" w:rsidR="00BF4178" w:rsidRPr="00F32EE9" w:rsidRDefault="00BF4178" w:rsidP="001209E9">
      <w:pPr>
        <w:pStyle w:val="BodyText"/>
        <w:spacing w:after="0"/>
        <w:ind w:left="360"/>
        <w:jc w:val="both"/>
        <w:rPr>
          <w:rFonts w:cs="Calibri"/>
        </w:rPr>
      </w:pPr>
      <w:r w:rsidRPr="00F32EE9">
        <w:rPr>
          <w:rFonts w:cs="Calibri"/>
        </w:rPr>
        <w:t>This scenario builds upon the base case, applying favorable adjustments to macroeconomic forecasts based on expert judgment, to capture potential upside conditions.</w:t>
      </w:r>
    </w:p>
    <w:p w14:paraId="758707A6" w14:textId="77777777" w:rsidR="00BF4178" w:rsidRPr="00F32EE9" w:rsidRDefault="00BF4178" w:rsidP="001209E9">
      <w:pPr>
        <w:pStyle w:val="BodyText"/>
        <w:spacing w:after="0"/>
        <w:jc w:val="both"/>
        <w:rPr>
          <w:rFonts w:cs="Calibri"/>
        </w:rPr>
      </w:pPr>
    </w:p>
    <w:p w14:paraId="583D5999" w14:textId="77777777" w:rsidR="00BF4178" w:rsidRPr="00F32EE9" w:rsidRDefault="00BF4178" w:rsidP="008D190E">
      <w:pPr>
        <w:pStyle w:val="BodyText"/>
        <w:numPr>
          <w:ilvl w:val="0"/>
          <w:numId w:val="8"/>
        </w:numPr>
        <w:spacing w:after="0"/>
        <w:ind w:left="360"/>
        <w:jc w:val="both"/>
        <w:rPr>
          <w:rFonts w:cs="Calibri"/>
          <w:b/>
          <w:bCs/>
        </w:rPr>
      </w:pPr>
      <w:r w:rsidRPr="00F32EE9">
        <w:rPr>
          <w:rFonts w:cs="Calibri"/>
          <w:b/>
          <w:bCs/>
        </w:rPr>
        <w:t>Scenario 3 – Stressed Case</w:t>
      </w:r>
    </w:p>
    <w:p w14:paraId="03D61CB5" w14:textId="05999FC6" w:rsidR="00603E2D" w:rsidRPr="00F32EE9" w:rsidRDefault="00BF4178" w:rsidP="00E96401">
      <w:pPr>
        <w:pStyle w:val="BodyText"/>
        <w:spacing w:after="0"/>
        <w:ind w:left="360"/>
        <w:jc w:val="both"/>
        <w:rPr>
          <w:rFonts w:cs="Calibri"/>
        </w:rPr>
      </w:pPr>
      <w:r w:rsidRPr="00F32EE9">
        <w:rPr>
          <w:rFonts w:cs="Calibri"/>
        </w:rPr>
        <w:t>This scenario incorporates adverse adjustments to the base forecast, stressing the macroeconomic outlook through expert judgment to reflect downside risks</w:t>
      </w:r>
    </w:p>
    <w:p w14:paraId="6DBBFE8D" w14:textId="77777777" w:rsidR="00D17E40" w:rsidRPr="00F32EE9" w:rsidRDefault="00D17E40" w:rsidP="00E96401">
      <w:pPr>
        <w:pStyle w:val="BodyText"/>
        <w:spacing w:after="0"/>
        <w:ind w:left="360"/>
        <w:jc w:val="both"/>
        <w:rPr>
          <w:rFonts w:cs="Calibri"/>
        </w:rPr>
      </w:pPr>
    </w:p>
    <w:p w14:paraId="7AA3C846" w14:textId="77777777" w:rsidR="00D17E40" w:rsidRPr="00F32EE9" w:rsidRDefault="00D17E40" w:rsidP="00E96401">
      <w:pPr>
        <w:pStyle w:val="BodyText"/>
        <w:spacing w:after="0"/>
        <w:ind w:left="360"/>
        <w:jc w:val="both"/>
        <w:rPr>
          <w:rFonts w:cs="Calibri"/>
        </w:rPr>
      </w:pPr>
    </w:p>
    <w:p w14:paraId="6F1B33B1" w14:textId="77777777" w:rsidR="00D17E40" w:rsidRPr="00F32EE9" w:rsidRDefault="00D17E40" w:rsidP="00E96401">
      <w:pPr>
        <w:pStyle w:val="BodyText"/>
        <w:spacing w:after="0"/>
        <w:ind w:left="360"/>
        <w:jc w:val="both"/>
        <w:rPr>
          <w:rFonts w:cs="Calibri"/>
        </w:rPr>
      </w:pPr>
    </w:p>
    <w:p w14:paraId="268BD457" w14:textId="77777777" w:rsidR="00DC1072" w:rsidRPr="00F32EE9" w:rsidRDefault="00DC1072" w:rsidP="00E96401">
      <w:pPr>
        <w:pStyle w:val="BodyText"/>
        <w:spacing w:after="0"/>
        <w:ind w:left="360"/>
        <w:jc w:val="both"/>
        <w:rPr>
          <w:rFonts w:cs="Calibri"/>
        </w:rPr>
      </w:pPr>
    </w:p>
    <w:p w14:paraId="164147AB" w14:textId="77777777" w:rsidR="000E35E5" w:rsidRPr="00F32EE9" w:rsidRDefault="000E35E5" w:rsidP="00E96401">
      <w:pPr>
        <w:pStyle w:val="BodyText"/>
        <w:spacing w:after="0"/>
        <w:ind w:left="360"/>
        <w:jc w:val="both"/>
        <w:rPr>
          <w:rFonts w:cs="Calibri"/>
        </w:rPr>
      </w:pPr>
    </w:p>
    <w:p w14:paraId="2C306F69" w14:textId="77777777" w:rsidR="004D214C" w:rsidRPr="00F32EE9" w:rsidRDefault="004D214C" w:rsidP="00E96401">
      <w:pPr>
        <w:pStyle w:val="BodyText"/>
        <w:spacing w:after="0"/>
        <w:ind w:left="360"/>
        <w:jc w:val="both"/>
        <w:rPr>
          <w:rFonts w:cs="Calibri"/>
        </w:rPr>
      </w:pPr>
    </w:p>
    <w:p w14:paraId="03B9747E" w14:textId="7FE2A1E4" w:rsidR="009F2E65" w:rsidRPr="00F32EE9" w:rsidRDefault="005B1D70" w:rsidP="005A6AE3">
      <w:pPr>
        <w:pStyle w:val="Heading1"/>
        <w:numPr>
          <w:ilvl w:val="0"/>
          <w:numId w:val="19"/>
        </w:numPr>
      </w:pPr>
      <w:bookmarkStart w:id="12" w:name="_Toc229059004"/>
      <w:r w:rsidRPr="00F32EE9">
        <w:lastRenderedPageBreak/>
        <w:t>Model Development Methodology</w:t>
      </w:r>
      <w:bookmarkEnd w:id="12"/>
    </w:p>
    <w:p w14:paraId="4EB3D913" w14:textId="6D2C69DE" w:rsidR="00024759" w:rsidRPr="00F32EE9" w:rsidRDefault="00604467" w:rsidP="005A6AE3">
      <w:pPr>
        <w:pStyle w:val="Heading2"/>
        <w:numPr>
          <w:ilvl w:val="0"/>
          <w:numId w:val="20"/>
        </w:numPr>
      </w:pPr>
      <w:r w:rsidRPr="00F32EE9">
        <w:t xml:space="preserve"> </w:t>
      </w:r>
      <w:bookmarkStart w:id="13" w:name="_Toc229059005"/>
      <w:r w:rsidR="00B44DB7" w:rsidRPr="00F32EE9">
        <w:t>PD Modelling Approach</w:t>
      </w:r>
      <w:bookmarkEnd w:id="13"/>
      <w:r w:rsidR="00B44DB7" w:rsidRPr="00F32EE9">
        <w:t xml:space="preserve"> </w:t>
      </w:r>
    </w:p>
    <w:p w14:paraId="3CC472AA" w14:textId="2BCA05EA" w:rsidR="0089572E" w:rsidRPr="00F32EE9" w:rsidRDefault="00114775" w:rsidP="0089572E">
      <w:pPr>
        <w:jc w:val="both"/>
        <w:rPr>
          <w:rFonts w:cs="Calibri"/>
        </w:rPr>
      </w:pPr>
      <w:r w:rsidRPr="00F32EE9">
        <w:rPr>
          <w:rFonts w:cs="Calibri"/>
        </w:rPr>
        <w:t xml:space="preserve">PD is probability of default which defines the likelihood of a borrower defaulting on its obligation. It quantifies and assigns a numerical value to the likelihood of default.  </w:t>
      </w:r>
      <w:r w:rsidR="0089572E" w:rsidRPr="00F32EE9">
        <w:rPr>
          <w:rFonts w:cs="Calibri"/>
        </w:rPr>
        <w:t>Under I</w:t>
      </w:r>
      <w:r w:rsidR="00D875B2" w:rsidRPr="00F32EE9">
        <w:rPr>
          <w:rFonts w:cs="Calibri"/>
        </w:rPr>
        <w:t>nd</w:t>
      </w:r>
      <w:r w:rsidR="00F6674E" w:rsidRPr="00F32EE9">
        <w:rPr>
          <w:rFonts w:cs="Calibri"/>
        </w:rPr>
        <w:t xml:space="preserve"> AS 10</w:t>
      </w:r>
      <w:r w:rsidR="0089572E" w:rsidRPr="00F32EE9">
        <w:rPr>
          <w:rFonts w:cs="Calibri"/>
        </w:rPr>
        <w:t>9, the estimation of Expected Credit Loss (ECL) requires both a 12-month Probability of Default (PD) as well as lifetime PDs for exposures classified under Stage 2 and Stage 3. Accordingly, it is necessary to construct a lifetime PD table, derived from historical data.</w:t>
      </w:r>
    </w:p>
    <w:p w14:paraId="73EC1236" w14:textId="2C204E26" w:rsidR="0089572E" w:rsidRPr="00F32EE9" w:rsidRDefault="0089572E" w:rsidP="0089572E">
      <w:pPr>
        <w:jc w:val="both"/>
        <w:rPr>
          <w:rFonts w:cs="Calibri"/>
        </w:rPr>
      </w:pPr>
      <w:r w:rsidRPr="00F32EE9">
        <w:rPr>
          <w:rFonts w:cs="Calibri"/>
        </w:rPr>
        <w:t>The I</w:t>
      </w:r>
      <w:r w:rsidR="00D875B2" w:rsidRPr="00F32EE9">
        <w:rPr>
          <w:rFonts w:cs="Calibri"/>
        </w:rPr>
        <w:t>nd</w:t>
      </w:r>
      <w:r w:rsidR="00F6674E" w:rsidRPr="00F32EE9">
        <w:rPr>
          <w:rFonts w:cs="Calibri"/>
        </w:rPr>
        <w:t xml:space="preserve"> AS</w:t>
      </w:r>
      <w:r w:rsidRPr="00F32EE9">
        <w:rPr>
          <w:rFonts w:cs="Calibri"/>
        </w:rPr>
        <w:t xml:space="preserve"> </w:t>
      </w:r>
      <w:r w:rsidR="00F6674E" w:rsidRPr="00F32EE9">
        <w:rPr>
          <w:rFonts w:cs="Calibri"/>
        </w:rPr>
        <w:t>10</w:t>
      </w:r>
      <w:r w:rsidRPr="00F32EE9">
        <w:rPr>
          <w:rFonts w:cs="Calibri"/>
        </w:rPr>
        <w:t>9 guidelines on credit impairment specify that the PDs applied in ECL calculations must be Point-in-Time (PIT). To achieve this, PD models first generate Through-the-Cycle (TTC) PDs, which are neutral to fluctuations in the economic cycle and represent the underlying long-term default risk over the life of the exposure. These TTC PDs are then adjusted to incorporate the influence of macroeconomic conditions, thereby converting them into forward-looking PIT PDs.</w:t>
      </w:r>
    </w:p>
    <w:p w14:paraId="5A048CC8" w14:textId="621EA9AA" w:rsidR="00C07AE5" w:rsidRPr="00F32EE9" w:rsidRDefault="0089572E" w:rsidP="0089572E">
      <w:pPr>
        <w:jc w:val="both"/>
        <w:rPr>
          <w:rFonts w:cs="Calibri"/>
        </w:rPr>
      </w:pPr>
      <w:r w:rsidRPr="00F32EE9">
        <w:rPr>
          <w:rFonts w:cs="Calibri"/>
        </w:rPr>
        <w:t xml:space="preserve">This section outlines the methodology adopted to compute TTC PDs and transform them into forward-looking PIT PDs </w:t>
      </w:r>
      <w:r w:rsidR="00322936" w:rsidRPr="00F32EE9">
        <w:rPr>
          <w:rFonts w:cs="Calibri"/>
        </w:rPr>
        <w:t xml:space="preserve">using </w:t>
      </w:r>
      <w:r w:rsidR="00B73BEA" w:rsidRPr="00F32EE9">
        <w:rPr>
          <w:rFonts w:cs="Calibri"/>
        </w:rPr>
        <w:t>Vasicek</w:t>
      </w:r>
      <w:r w:rsidR="00DB6E58" w:rsidRPr="00F32EE9">
        <w:rPr>
          <w:rFonts w:cs="Calibri"/>
        </w:rPr>
        <w:t xml:space="preserve"> Model based upon</w:t>
      </w:r>
      <w:r w:rsidR="00FC0306" w:rsidRPr="00F32EE9">
        <w:rPr>
          <w:rFonts w:cs="Calibri"/>
        </w:rPr>
        <w:t xml:space="preserve"> portfolio characteristics</w:t>
      </w:r>
      <w:r w:rsidR="00072A5D" w:rsidRPr="00F32EE9">
        <w:rPr>
          <w:rFonts w:cs="Calibri"/>
        </w:rPr>
        <w:t>.</w:t>
      </w:r>
    </w:p>
    <w:p w14:paraId="7720C80D" w14:textId="513E1A2C" w:rsidR="00871ED3" w:rsidRPr="00F32EE9" w:rsidRDefault="00C44597" w:rsidP="005A6AE3">
      <w:pPr>
        <w:pStyle w:val="Heading4"/>
        <w:numPr>
          <w:ilvl w:val="2"/>
          <w:numId w:val="25"/>
        </w:numPr>
      </w:pPr>
      <w:r w:rsidRPr="00F32EE9">
        <w:t>Through-the-cycle PD</w:t>
      </w:r>
    </w:p>
    <w:p w14:paraId="550100B3" w14:textId="74A070B4" w:rsidR="00FC7C66" w:rsidRPr="00F32EE9" w:rsidRDefault="008B095D" w:rsidP="00727930">
      <w:pPr>
        <w:jc w:val="both"/>
        <w:rPr>
          <w:rFonts w:cs="Calibri"/>
        </w:rPr>
      </w:pPr>
      <w:r w:rsidRPr="00F32EE9">
        <w:rPr>
          <w:rFonts w:cs="Calibri"/>
        </w:rPr>
        <w:t>Through-the-Cycle (TTC) Probability of Default (PDs) represent the long-term average default rates observed across different phases of an economic cycle.</w:t>
      </w:r>
      <w:r w:rsidR="00322936" w:rsidRPr="00F32EE9">
        <w:rPr>
          <w:rFonts w:cs="Calibri"/>
        </w:rPr>
        <w:t xml:space="preserve">  IRFC's lending portfolio is characterized by borrowers that are Public Sector Undertakings (PSU) PSUs and government-backed entities in power, railways, freight, and fertilizers etc. The </w:t>
      </w:r>
      <w:r w:rsidR="00322936" w:rsidRPr="00F32EE9">
        <w:rPr>
          <w:lang w:val="en-IN"/>
        </w:rPr>
        <w:t>Portfolio exhibits no meaningful DPD or rating migration history with negligible delinquency transitions which makes it impractical to construct a statistically reliable transition matrix.  The</w:t>
      </w:r>
      <w:r w:rsidR="009C6A6A" w:rsidRPr="00F32EE9">
        <w:rPr>
          <w:lang w:val="en-IN"/>
        </w:rPr>
        <w:t xml:space="preserve"> CRISIL one </w:t>
      </w:r>
      <w:r w:rsidR="00512719" w:rsidRPr="00F32EE9">
        <w:rPr>
          <w:lang w:val="en-IN"/>
        </w:rPr>
        <w:t>year default</w:t>
      </w:r>
      <w:r w:rsidR="00322936" w:rsidRPr="00F32EE9">
        <w:rPr>
          <w:lang w:val="en-IN"/>
        </w:rPr>
        <w:t xml:space="preserve"> transition matrix </w:t>
      </w:r>
      <w:r w:rsidR="00512719" w:rsidRPr="00F32EE9">
        <w:t>is</w:t>
      </w:r>
      <w:r w:rsidR="00322936" w:rsidRPr="00F32EE9">
        <w:t xml:space="preserve"> considered for rated borrowers.</w:t>
      </w:r>
    </w:p>
    <w:p w14:paraId="734A0D69" w14:textId="481062E0" w:rsidR="00604467" w:rsidRPr="00F32EE9" w:rsidRDefault="00976DC4" w:rsidP="005A6AE3">
      <w:pPr>
        <w:pStyle w:val="Heading4"/>
        <w:numPr>
          <w:ilvl w:val="2"/>
          <w:numId w:val="25"/>
        </w:numPr>
      </w:pPr>
      <w:r w:rsidRPr="00F32EE9">
        <w:t>Macroeconomic</w:t>
      </w:r>
      <w:r w:rsidR="00024EE5" w:rsidRPr="00F32EE9">
        <w:t xml:space="preserve"> Variable Sel</w:t>
      </w:r>
      <w:r w:rsidRPr="00F32EE9">
        <w:t>ection</w:t>
      </w:r>
    </w:p>
    <w:p w14:paraId="53968A1B" w14:textId="77777777" w:rsidR="00EB5AC5" w:rsidRPr="00EB5AC5" w:rsidRDefault="00EB5AC5" w:rsidP="00EB5AC5">
      <w:pPr>
        <w:jc w:val="both"/>
        <w:rPr>
          <w:rFonts w:cs="Calibri"/>
          <w:lang w:val="en-IN"/>
        </w:rPr>
      </w:pPr>
      <w:r w:rsidRPr="00EB5AC5">
        <w:rPr>
          <w:rFonts w:cs="Calibri"/>
          <w:lang w:val="en-IN"/>
        </w:rPr>
        <w:t xml:space="preserve">The Company incorporates forward-looking information into the Probability of Default (PD) model using two macroeconomic variables: </w:t>
      </w:r>
      <w:r w:rsidRPr="00EB5AC5">
        <w:rPr>
          <w:rFonts w:cs="Calibri"/>
          <w:b/>
          <w:bCs/>
          <w:lang w:val="en-IN"/>
        </w:rPr>
        <w:t>Gross Domestic Product (GDP)</w:t>
      </w:r>
      <w:r w:rsidRPr="00EB5AC5">
        <w:rPr>
          <w:rFonts w:cs="Calibri"/>
          <w:lang w:val="en-IN"/>
        </w:rPr>
        <w:t xml:space="preserve"> and </w:t>
      </w:r>
      <w:r w:rsidRPr="00EB5AC5">
        <w:rPr>
          <w:rFonts w:cs="Calibri"/>
          <w:b/>
          <w:bCs/>
          <w:lang w:val="en-IN"/>
        </w:rPr>
        <w:t>Government Revenue</w:t>
      </w:r>
      <w:r w:rsidRPr="00EB5AC5">
        <w:rPr>
          <w:rFonts w:cs="Calibri"/>
          <w:lang w:val="en-IN"/>
        </w:rPr>
        <w:t>.</w:t>
      </w:r>
    </w:p>
    <w:p w14:paraId="513D0733" w14:textId="77777777" w:rsidR="00EB5AC5" w:rsidRPr="00EB5AC5" w:rsidRDefault="00EB5AC5" w:rsidP="00EB5AC5">
      <w:pPr>
        <w:jc w:val="both"/>
        <w:rPr>
          <w:rFonts w:cs="Calibri"/>
          <w:lang w:val="en-IN"/>
        </w:rPr>
      </w:pPr>
      <w:r w:rsidRPr="00EB5AC5">
        <w:rPr>
          <w:rFonts w:cs="Calibri"/>
          <w:b/>
          <w:bCs/>
          <w:lang w:val="en-IN"/>
        </w:rPr>
        <w:t>Gross Domestic Product (GDP)</w:t>
      </w:r>
      <w:r w:rsidRPr="00EB5AC5">
        <w:rPr>
          <w:rFonts w:cs="Calibri"/>
          <w:lang w:val="en-IN"/>
        </w:rPr>
        <w:t xml:space="preserve"> GDP serves as a broad and reliable indicator of overall economic conditions, capturing the systematic impact of macroeconomic cycles on borrower default behaviour. Since the portfolio comprises entirely of PSUs and government-backed entities, their financial performance is intrinsically linked to the level of economic activity — a deterioration in GDP growth is expected to adversely affect their debt-servicing capacity, resulting in elevated default risk.</w:t>
      </w:r>
    </w:p>
    <w:p w14:paraId="2D49FDC1" w14:textId="77777777" w:rsidR="00EB5AC5" w:rsidRPr="00EB5AC5" w:rsidRDefault="00EB5AC5" w:rsidP="00EB5AC5">
      <w:pPr>
        <w:jc w:val="both"/>
        <w:rPr>
          <w:rFonts w:cs="Calibri"/>
          <w:lang w:val="en-IN"/>
        </w:rPr>
      </w:pPr>
      <w:r w:rsidRPr="00EB5AC5">
        <w:rPr>
          <w:rFonts w:cs="Calibri"/>
          <w:b/>
          <w:bCs/>
          <w:lang w:val="en-IN"/>
        </w:rPr>
        <w:t>Government Revenue</w:t>
      </w:r>
      <w:r w:rsidRPr="00EB5AC5">
        <w:rPr>
          <w:rFonts w:cs="Calibri"/>
          <w:lang w:val="en-IN"/>
        </w:rPr>
        <w:t xml:space="preserve"> Since all borrowers in the portfolio are government-owned or supported entities, their financial stability is directly contingent on the fiscal health of the government. A decline in government revenue reduces the government's capacity to extend support to these entities, thereby increasing their vulnerability to default.</w:t>
      </w:r>
    </w:p>
    <w:p w14:paraId="7A10B396" w14:textId="3BF7B627" w:rsidR="00EB5AC5" w:rsidRPr="00F32EE9" w:rsidRDefault="00EB5AC5" w:rsidP="001C0FAC">
      <w:pPr>
        <w:jc w:val="both"/>
        <w:rPr>
          <w:rFonts w:cs="Calibri"/>
          <w:lang w:val="en-IN"/>
        </w:rPr>
      </w:pPr>
      <w:r w:rsidRPr="00EB5AC5">
        <w:rPr>
          <w:rFonts w:cs="Calibri"/>
          <w:lang w:val="en-IN"/>
        </w:rPr>
        <w:t xml:space="preserve">Both variables are assigned </w:t>
      </w:r>
      <w:r w:rsidRPr="00EB5AC5">
        <w:rPr>
          <w:rFonts w:cs="Calibri"/>
          <w:b/>
          <w:bCs/>
          <w:lang w:val="en-IN"/>
        </w:rPr>
        <w:t>equal weightage</w:t>
      </w:r>
      <w:r w:rsidRPr="00EB5AC5">
        <w:rPr>
          <w:rFonts w:cs="Calibri"/>
          <w:lang w:val="en-IN"/>
        </w:rPr>
        <w:t xml:space="preserve"> in the PD computation, ensuring a balanced reflection of macroeconomic conditions in the forward-looking adjustment.</w:t>
      </w:r>
    </w:p>
    <w:p w14:paraId="5970EC63" w14:textId="466E1A50" w:rsidR="00C65FF7" w:rsidRPr="00F32EE9" w:rsidRDefault="00C65FF7" w:rsidP="00C65FF7">
      <w:pPr>
        <w:jc w:val="both"/>
        <w:rPr>
          <w:rFonts w:cs="Calibri"/>
          <w:lang w:val="en-IN"/>
        </w:rPr>
      </w:pPr>
      <w:r w:rsidRPr="00F32EE9">
        <w:rPr>
          <w:rFonts w:cs="Calibri"/>
          <w:lang w:val="en-IN"/>
        </w:rPr>
        <w:t xml:space="preserve">Macroeconomic forecasts used for PD estimation are sourced from publications issued by the International Monetary Fund (IMF). The selected macroeconomic variable </w:t>
      </w:r>
      <w:r w:rsidR="00D579D4" w:rsidRPr="00F32EE9">
        <w:rPr>
          <w:rFonts w:cs="Calibri"/>
          <w:lang w:val="en-IN"/>
        </w:rPr>
        <w:t xml:space="preserve">and its relevance to the portfolio </w:t>
      </w:r>
      <w:r w:rsidRPr="00F32EE9">
        <w:rPr>
          <w:rFonts w:cs="Calibri"/>
          <w:lang w:val="en-IN"/>
        </w:rPr>
        <w:t>is subject to periodic review under the model governance and validation framework.</w:t>
      </w:r>
    </w:p>
    <w:p w14:paraId="2017C38E" w14:textId="77777777" w:rsidR="00D4500E" w:rsidRPr="00F32EE9" w:rsidRDefault="00D4500E" w:rsidP="00C65FF7">
      <w:pPr>
        <w:jc w:val="both"/>
        <w:rPr>
          <w:rFonts w:cs="Calibri"/>
          <w:lang w:val="en-IN"/>
        </w:rPr>
      </w:pPr>
    </w:p>
    <w:p w14:paraId="3F7BBCA0" w14:textId="77777777" w:rsidR="00D4500E" w:rsidRPr="00F32EE9" w:rsidRDefault="00D4500E" w:rsidP="00C65FF7">
      <w:pPr>
        <w:jc w:val="both"/>
        <w:rPr>
          <w:rFonts w:cs="Calibri"/>
          <w:lang w:val="en-IN"/>
        </w:rPr>
      </w:pPr>
    </w:p>
    <w:p w14:paraId="7EABAA26" w14:textId="77777777" w:rsidR="00D4500E" w:rsidRPr="00F32EE9" w:rsidRDefault="00D4500E" w:rsidP="00C65FF7">
      <w:pPr>
        <w:jc w:val="both"/>
        <w:rPr>
          <w:rFonts w:cs="Calibri"/>
          <w:lang w:val="en-IN"/>
        </w:rPr>
      </w:pPr>
    </w:p>
    <w:p w14:paraId="3C778998" w14:textId="704E1F17" w:rsidR="00036412" w:rsidRPr="00F32EE9" w:rsidRDefault="00E026BB" w:rsidP="005A6AE3">
      <w:pPr>
        <w:pStyle w:val="Heading4"/>
        <w:numPr>
          <w:ilvl w:val="2"/>
          <w:numId w:val="25"/>
        </w:numPr>
      </w:pPr>
      <w:r w:rsidRPr="00F32EE9">
        <w:t xml:space="preserve">Forward Looking </w:t>
      </w:r>
      <w:r w:rsidR="008A277C" w:rsidRPr="00F32EE9">
        <w:t>Point in T</w:t>
      </w:r>
      <w:r w:rsidR="008F39EC" w:rsidRPr="00F32EE9">
        <w:t>ime Probability of Default</w:t>
      </w:r>
    </w:p>
    <w:p w14:paraId="0E1DF1BF" w14:textId="65DCA40B" w:rsidR="008F39EC" w:rsidRPr="00F32EE9" w:rsidRDefault="0030230D" w:rsidP="004C39C6">
      <w:pPr>
        <w:jc w:val="both"/>
        <w:rPr>
          <w:rFonts w:cs="Calibri"/>
        </w:rPr>
      </w:pPr>
      <w:r w:rsidRPr="00F32EE9">
        <w:rPr>
          <w:rFonts w:cs="Calibri"/>
        </w:rPr>
        <w:t xml:space="preserve">As per the requirements of </w:t>
      </w:r>
      <w:r w:rsidR="00DB44C0" w:rsidRPr="00F32EE9">
        <w:rPr>
          <w:rFonts w:cs="Calibri"/>
        </w:rPr>
        <w:t>I</w:t>
      </w:r>
      <w:r w:rsidR="00D875B2" w:rsidRPr="00F32EE9">
        <w:rPr>
          <w:rFonts w:cs="Calibri"/>
        </w:rPr>
        <w:t>nd</w:t>
      </w:r>
      <w:r w:rsidR="00F6674E" w:rsidRPr="00F32EE9">
        <w:rPr>
          <w:rFonts w:cs="Calibri"/>
        </w:rPr>
        <w:t xml:space="preserve"> AS</w:t>
      </w:r>
      <w:r w:rsidR="00DB44C0" w:rsidRPr="00F32EE9">
        <w:rPr>
          <w:rFonts w:cs="Calibri"/>
        </w:rPr>
        <w:t xml:space="preserve"> </w:t>
      </w:r>
      <w:r w:rsidR="00F6674E" w:rsidRPr="00F32EE9">
        <w:rPr>
          <w:rFonts w:cs="Calibri"/>
        </w:rPr>
        <w:t>10</w:t>
      </w:r>
      <w:r w:rsidR="00DB44C0" w:rsidRPr="00F32EE9">
        <w:rPr>
          <w:rFonts w:cs="Calibri"/>
        </w:rPr>
        <w:t>9</w:t>
      </w:r>
      <w:r w:rsidRPr="00F32EE9">
        <w:rPr>
          <w:rFonts w:cs="Calibri"/>
        </w:rPr>
        <w:t>, the Probability of Default (PD) must be estimated on a Point-in-Time (P</w:t>
      </w:r>
      <w:r w:rsidR="00727930" w:rsidRPr="00F32EE9">
        <w:rPr>
          <w:rFonts w:cs="Calibri"/>
        </w:rPr>
        <w:t>I</w:t>
      </w:r>
      <w:r w:rsidRPr="00F32EE9">
        <w:rPr>
          <w:rFonts w:cs="Calibri"/>
        </w:rPr>
        <w:t>T) basis, incorporating current forecasts of future economic conditions. To derive P</w:t>
      </w:r>
      <w:r w:rsidR="00727930" w:rsidRPr="00F32EE9">
        <w:rPr>
          <w:rFonts w:cs="Calibri"/>
        </w:rPr>
        <w:t>I</w:t>
      </w:r>
      <w:r w:rsidRPr="00F32EE9">
        <w:rPr>
          <w:rFonts w:cs="Calibri"/>
        </w:rPr>
        <w:t xml:space="preserve">T PDs, the </w:t>
      </w:r>
      <w:r w:rsidR="00F5627D" w:rsidRPr="00F32EE9">
        <w:rPr>
          <w:rFonts w:cs="Calibri"/>
        </w:rPr>
        <w:t>Company</w:t>
      </w:r>
      <w:r w:rsidRPr="00F32EE9">
        <w:rPr>
          <w:rFonts w:cs="Calibri"/>
        </w:rPr>
        <w:t xml:space="preserve"> will obtain annual macroeconomic forecasts from the International Monetary Fund (IMF)</w:t>
      </w:r>
      <w:r w:rsidR="0091521F" w:rsidRPr="00F32EE9">
        <w:rPr>
          <w:rFonts w:cs="Calibri"/>
        </w:rPr>
        <w:t>.</w:t>
      </w:r>
    </w:p>
    <w:p w14:paraId="6AE624D4" w14:textId="1A1FD77F" w:rsidR="001E6075" w:rsidRPr="00F32EE9" w:rsidRDefault="001E6075" w:rsidP="005A6AE3">
      <w:pPr>
        <w:pStyle w:val="ListParagraph"/>
        <w:numPr>
          <w:ilvl w:val="2"/>
          <w:numId w:val="25"/>
        </w:numPr>
        <w:jc w:val="both"/>
        <w:rPr>
          <w:rFonts w:cs="Calibri"/>
          <w:b/>
          <w:bCs/>
          <w:i/>
          <w:iCs/>
        </w:rPr>
      </w:pPr>
      <w:r w:rsidRPr="00F32EE9">
        <w:rPr>
          <w:rFonts w:cs="Calibri"/>
          <w:b/>
          <w:bCs/>
          <w:i/>
          <w:iCs/>
        </w:rPr>
        <w:t>PIT</w:t>
      </w:r>
      <w:r w:rsidR="007C6FDC" w:rsidRPr="00F32EE9">
        <w:rPr>
          <w:rFonts w:cs="Calibri"/>
          <w:b/>
          <w:bCs/>
          <w:i/>
          <w:iCs/>
        </w:rPr>
        <w:t xml:space="preserve"> PD using </w:t>
      </w:r>
      <w:r w:rsidR="007F7345" w:rsidRPr="00F32EE9">
        <w:rPr>
          <w:rFonts w:cs="Calibri"/>
          <w:b/>
          <w:bCs/>
          <w:i/>
          <w:iCs/>
        </w:rPr>
        <w:t>Vasi</w:t>
      </w:r>
      <w:r w:rsidR="001551A7" w:rsidRPr="00F32EE9">
        <w:rPr>
          <w:rFonts w:cs="Calibri"/>
          <w:b/>
          <w:bCs/>
          <w:i/>
          <w:iCs/>
        </w:rPr>
        <w:t xml:space="preserve">cek </w:t>
      </w:r>
      <w:r w:rsidR="006051C0" w:rsidRPr="00F32EE9">
        <w:rPr>
          <w:rFonts w:cs="Calibri"/>
          <w:b/>
          <w:bCs/>
          <w:i/>
          <w:iCs/>
        </w:rPr>
        <w:t xml:space="preserve">Approach </w:t>
      </w:r>
    </w:p>
    <w:p w14:paraId="2C4EB344" w14:textId="570C08A7" w:rsidR="006051C0" w:rsidRPr="00F32EE9" w:rsidRDefault="007C6FDC" w:rsidP="001E6075">
      <w:pPr>
        <w:jc w:val="both"/>
        <w:rPr>
          <w:rFonts w:cs="Calibri"/>
          <w:lang w:val="en-IN"/>
        </w:rPr>
      </w:pPr>
      <w:r w:rsidRPr="00F32EE9">
        <w:rPr>
          <w:rFonts w:cs="Calibri"/>
          <w:b/>
          <w:bCs/>
        </w:rPr>
        <w:t xml:space="preserve"> </w:t>
      </w:r>
      <w:r w:rsidR="006051C0" w:rsidRPr="00F32EE9">
        <w:rPr>
          <w:rFonts w:cs="Calibri"/>
          <w:lang w:val="en-IN"/>
        </w:rPr>
        <w:t>The Vasicek model is based on the Asymptotic Single Risk Factor (ASRF) framework, which transforms unconditional or Through-the-Cycle (TTC) Probability of Default (PDs) into conditional default probabilities, while maintaining portfolio invariance.</w:t>
      </w:r>
    </w:p>
    <w:p w14:paraId="62400CAC" w14:textId="77777777" w:rsidR="006051C0" w:rsidRPr="00F32EE9" w:rsidRDefault="006051C0" w:rsidP="006051C0">
      <w:pPr>
        <w:jc w:val="both"/>
        <w:rPr>
          <w:rFonts w:cs="Calibri"/>
          <w:lang w:val="en-IN"/>
        </w:rPr>
      </w:pPr>
      <w:r w:rsidRPr="00F32EE9">
        <w:rPr>
          <w:rFonts w:cs="Calibri"/>
          <w:lang w:val="en-IN"/>
        </w:rPr>
        <w:t>In this framework, the asset return of a borrower is driven by two components:</w:t>
      </w:r>
    </w:p>
    <w:p w14:paraId="4E32FB93" w14:textId="77777777" w:rsidR="006051C0" w:rsidRPr="00F32EE9" w:rsidRDefault="006051C0" w:rsidP="005A6AE3">
      <w:pPr>
        <w:numPr>
          <w:ilvl w:val="0"/>
          <w:numId w:val="9"/>
        </w:numPr>
        <w:tabs>
          <w:tab w:val="clear" w:pos="360"/>
          <w:tab w:val="num" w:pos="720"/>
        </w:tabs>
        <w:jc w:val="both"/>
        <w:rPr>
          <w:rFonts w:cs="Calibri"/>
          <w:lang w:val="en-IN"/>
        </w:rPr>
      </w:pPr>
      <w:r w:rsidRPr="00F32EE9">
        <w:rPr>
          <w:rFonts w:cs="Calibri"/>
          <w:lang w:val="en-IN"/>
        </w:rPr>
        <w:t>A systematic factor (Z), which captures the impact of common macroeconomic and market-wide conditions.</w:t>
      </w:r>
    </w:p>
    <w:p w14:paraId="14EA0F1F" w14:textId="77777777" w:rsidR="006051C0" w:rsidRPr="00F32EE9" w:rsidRDefault="006051C0" w:rsidP="005A6AE3">
      <w:pPr>
        <w:numPr>
          <w:ilvl w:val="0"/>
          <w:numId w:val="9"/>
        </w:numPr>
        <w:tabs>
          <w:tab w:val="clear" w:pos="360"/>
          <w:tab w:val="num" w:pos="720"/>
        </w:tabs>
        <w:jc w:val="both"/>
        <w:rPr>
          <w:rFonts w:cs="Calibri"/>
          <w:lang w:val="en-IN"/>
        </w:rPr>
      </w:pPr>
      <w:r w:rsidRPr="00F32EE9">
        <w:rPr>
          <w:rFonts w:cs="Calibri"/>
          <w:lang w:val="en-IN"/>
        </w:rPr>
        <w:t>An idiosyncratic factor (ε), which reflects borrower-specific risks independent of the broader economic environment.</w:t>
      </w:r>
    </w:p>
    <w:p w14:paraId="10EE1C76" w14:textId="5D5EF40B" w:rsidR="00E44602" w:rsidRPr="00F32EE9" w:rsidRDefault="00E44602" w:rsidP="00E44602">
      <w:pPr>
        <w:jc w:val="both"/>
        <w:rPr>
          <w:rFonts w:cs="Calibri"/>
          <w:lang w:val="en-IN"/>
        </w:rPr>
      </w:pPr>
      <w:r w:rsidRPr="00F32EE9">
        <w:rPr>
          <w:rFonts w:cs="Calibri"/>
        </w:rPr>
        <w:t>The systematic factor (Z) is derived from the underlying Macroeconomic Variables (MEVs) that influence credit risk across the portfolio. Before being incorporated into the Vasicek model equation, these variables are transformed under the assumption of a standard normal distribution, ensuring consistency with the model’s probabilistic framework.</w:t>
      </w:r>
    </w:p>
    <w:p w14:paraId="3A4C2220" w14:textId="6DBA9802" w:rsidR="00E026BB" w:rsidRPr="00F32EE9" w:rsidRDefault="00833D74" w:rsidP="004C39C6">
      <w:pPr>
        <w:jc w:val="both"/>
        <w:rPr>
          <w:rFonts w:cs="Calibri"/>
        </w:rPr>
      </w:pPr>
      <w:r w:rsidRPr="00F32EE9">
        <w:rPr>
          <w:rFonts w:cs="Calibri"/>
        </w:rPr>
        <w:t xml:space="preserve">The formulae for </w:t>
      </w:r>
      <w:r w:rsidR="004B4FC4" w:rsidRPr="00F32EE9">
        <w:rPr>
          <w:rFonts w:cs="Calibri"/>
        </w:rPr>
        <w:t>converting TTC PD to PIT PT is as follows:</w:t>
      </w:r>
    </w:p>
    <w:p w14:paraId="316307D4" w14:textId="331D3D12" w:rsidR="00021D6F" w:rsidRPr="00F32EE9" w:rsidRDefault="00000000" w:rsidP="00021D6F">
      <w:pPr>
        <w:jc w:val="center"/>
        <w:rPr>
          <w:rFonts w:cs="Calibri"/>
          <w:sz w:val="20"/>
          <w:szCs w:val="20"/>
        </w:rPr>
      </w:pPr>
      <m:oMathPara>
        <m:oMath>
          <m:sSub>
            <m:sSubPr>
              <m:ctrlPr>
                <w:rPr>
                  <w:rFonts w:ascii="Cambria Math" w:hAnsi="Cambria Math" w:cs="Calibri"/>
                  <w:i/>
                  <w:sz w:val="20"/>
                  <w:szCs w:val="20"/>
                </w:rPr>
              </m:ctrlPr>
            </m:sSubPr>
            <m:e>
              <m:r>
                <w:rPr>
                  <w:rFonts w:ascii="Cambria Math" w:hAnsi="Cambria Math" w:cs="Calibri"/>
                  <w:sz w:val="20"/>
                  <w:szCs w:val="20"/>
                </w:rPr>
                <m:t>PD</m:t>
              </m:r>
            </m:e>
            <m:sub>
              <m:r>
                <w:rPr>
                  <w:rFonts w:ascii="Cambria Math" w:hAnsi="Cambria Math" w:cs="Calibri"/>
                  <w:sz w:val="20"/>
                  <w:szCs w:val="20"/>
                </w:rPr>
                <m:t>i</m:t>
              </m:r>
            </m:sub>
          </m:sSub>
          <m:r>
            <w:rPr>
              <w:rFonts w:ascii="Cambria Math" w:hAnsi="Cambria Math" w:cs="Calibri"/>
              <w:sz w:val="20"/>
              <w:szCs w:val="20"/>
            </w:rPr>
            <m:t>=P</m:t>
          </m:r>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i</m:t>
                  </m:r>
                </m:sub>
              </m:sSub>
              <m:r>
                <w:rPr>
                  <w:rFonts w:ascii="Cambria Math" w:hAnsi="Cambria Math" w:cs="Calibri"/>
                  <w:sz w:val="20"/>
                  <w:szCs w:val="20"/>
                </w:rPr>
                <m:t>&lt;</m:t>
              </m:r>
              <m:sSub>
                <m:sSubPr>
                  <m:ctrlPr>
                    <w:rPr>
                      <w:rFonts w:ascii="Cambria Math" w:hAnsi="Cambria Math" w:cs="Calibri"/>
                      <w:i/>
                      <w:sz w:val="20"/>
                      <w:szCs w:val="20"/>
                    </w:rPr>
                  </m:ctrlPr>
                </m:sSubPr>
                <m:e>
                  <m:r>
                    <w:rPr>
                      <w:rFonts w:ascii="Cambria Math" w:hAnsi="Cambria Math" w:cs="Calibri"/>
                      <w:sz w:val="20"/>
                      <w:szCs w:val="20"/>
                    </w:rPr>
                    <m:t>d</m:t>
                  </m:r>
                </m:e>
                <m:sub>
                  <m:r>
                    <w:rPr>
                      <w:rFonts w:ascii="Cambria Math" w:hAnsi="Cambria Math" w:cs="Calibri"/>
                      <w:sz w:val="20"/>
                      <w:szCs w:val="20"/>
                    </w:rPr>
                    <m:t>i</m:t>
                  </m:r>
                </m:sub>
              </m:sSub>
            </m:e>
            <m:e>
              <m:r>
                <w:rPr>
                  <w:rFonts w:ascii="Cambria Math" w:hAnsi="Cambria Math" w:cs="Calibri"/>
                  <w:sz w:val="20"/>
                  <w:szCs w:val="20"/>
                </w:rPr>
                <m:t>Z=</m:t>
              </m:r>
              <m:sSubSup>
                <m:sSubSupPr>
                  <m:ctrlPr>
                    <w:rPr>
                      <w:rFonts w:ascii="Cambria Math" w:hAnsi="Cambria Math" w:cs="Calibri"/>
                      <w:i/>
                      <w:sz w:val="20"/>
                      <w:szCs w:val="20"/>
                    </w:rPr>
                  </m:ctrlPr>
                </m:sSubSupPr>
                <m:e>
                  <m:r>
                    <w:rPr>
                      <w:rFonts w:ascii="Cambria Math" w:hAnsi="Cambria Math" w:cs="Calibri"/>
                      <w:sz w:val="20"/>
                      <w:szCs w:val="20"/>
                    </w:rPr>
                    <m:t>z</m:t>
                  </m:r>
                </m:e>
                <m:sub>
                  <m:r>
                    <w:rPr>
                      <w:rFonts w:ascii="Cambria Math" w:hAnsi="Cambria Math" w:cs="Calibri"/>
                      <w:sz w:val="20"/>
                      <w:szCs w:val="20"/>
                    </w:rPr>
                    <m:t>i</m:t>
                  </m:r>
                </m:sub>
                <m:sup>
                  <m:r>
                    <w:rPr>
                      <w:rFonts w:ascii="Cambria Math" w:hAnsi="Cambria Math" w:cs="Calibri"/>
                      <w:sz w:val="20"/>
                      <w:szCs w:val="20"/>
                    </w:rPr>
                    <m:t>t</m:t>
                  </m:r>
                </m:sup>
              </m:sSubSup>
            </m:e>
          </m:d>
          <m:r>
            <w:rPr>
              <w:rFonts w:ascii="Cambria Math" w:hAnsi="Cambria Math" w:cs="Calibri"/>
              <w:sz w:val="20"/>
              <w:szCs w:val="20"/>
            </w:rPr>
            <m:t>= ∅</m:t>
          </m:r>
          <m:d>
            <m:dPr>
              <m:ctrlPr>
                <w:rPr>
                  <w:rFonts w:ascii="Cambria Math" w:hAnsi="Cambria Math" w:cs="Calibri"/>
                  <w:i/>
                  <w:sz w:val="20"/>
                  <w:szCs w:val="20"/>
                </w:rPr>
              </m:ctrlPr>
            </m:dPr>
            <m:e>
              <m:f>
                <m:fPr>
                  <m:ctrlPr>
                    <w:rPr>
                      <w:rFonts w:ascii="Cambria Math" w:hAnsi="Cambria Math" w:cs="Calibri"/>
                      <w:i/>
                      <w:sz w:val="20"/>
                      <w:szCs w:val="20"/>
                    </w:rPr>
                  </m:ctrlPr>
                </m:fPr>
                <m:num>
                  <m:sSup>
                    <m:sSupPr>
                      <m:ctrlPr>
                        <w:rPr>
                          <w:rFonts w:ascii="Cambria Math" w:hAnsi="Cambria Math" w:cs="Calibri"/>
                          <w:i/>
                          <w:sz w:val="20"/>
                          <w:szCs w:val="20"/>
                        </w:rPr>
                      </m:ctrlPr>
                    </m:sSupPr>
                    <m:e>
                      <m:r>
                        <w:rPr>
                          <w:rFonts w:ascii="Cambria Math" w:hAnsi="Cambria Math" w:cs="Calibri"/>
                          <w:sz w:val="20"/>
                          <w:szCs w:val="20"/>
                        </w:rPr>
                        <m:t>∅</m:t>
                      </m:r>
                    </m:e>
                    <m:sup>
                      <m:r>
                        <w:rPr>
                          <w:rFonts w:ascii="Cambria Math" w:hAnsi="Cambria Math" w:cs="Calibri"/>
                          <w:sz w:val="20"/>
                          <w:szCs w:val="20"/>
                        </w:rPr>
                        <m:t>-1</m:t>
                      </m:r>
                    </m:sup>
                  </m:sSup>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PD</m:t>
                          </m:r>
                        </m:e>
                        <m:sub>
                          <m:r>
                            <w:rPr>
                              <w:rFonts w:ascii="Cambria Math" w:hAnsi="Cambria Math" w:cs="Calibri"/>
                              <w:sz w:val="20"/>
                              <w:szCs w:val="20"/>
                            </w:rPr>
                            <m:t>TTC</m:t>
                          </m:r>
                        </m:sub>
                      </m:sSub>
                    </m:e>
                  </m:d>
                  <m:r>
                    <w:rPr>
                      <w:rFonts w:ascii="Cambria Math" w:hAnsi="Cambria Math" w:cs="Calibri"/>
                      <w:sz w:val="20"/>
                      <w:szCs w:val="20"/>
                    </w:rPr>
                    <m:t xml:space="preserve">- </m:t>
                  </m:r>
                  <m:rad>
                    <m:radPr>
                      <m:degHide m:val="1"/>
                      <m:ctrlPr>
                        <w:rPr>
                          <w:rFonts w:ascii="Cambria Math" w:hAnsi="Cambria Math" w:cs="Calibri"/>
                          <w:i/>
                          <w:sz w:val="20"/>
                          <w:szCs w:val="20"/>
                        </w:rPr>
                      </m:ctrlPr>
                    </m:radPr>
                    <m:deg/>
                    <m:e>
                      <m:r>
                        <w:rPr>
                          <w:rFonts w:ascii="Cambria Math" w:hAnsi="Cambria Math" w:cs="Calibri"/>
                          <w:sz w:val="20"/>
                          <w:szCs w:val="20"/>
                        </w:rPr>
                        <m:t xml:space="preserve">ρ </m:t>
                      </m:r>
                      <m:sSubSup>
                        <m:sSubSupPr>
                          <m:ctrlPr>
                            <w:rPr>
                              <w:rFonts w:ascii="Cambria Math" w:hAnsi="Cambria Math" w:cs="Calibri"/>
                              <w:i/>
                              <w:sz w:val="20"/>
                              <w:szCs w:val="20"/>
                            </w:rPr>
                          </m:ctrlPr>
                        </m:sSubSupPr>
                        <m:e>
                          <m:r>
                            <w:rPr>
                              <w:rFonts w:ascii="Cambria Math" w:hAnsi="Cambria Math" w:cs="Calibri"/>
                              <w:sz w:val="20"/>
                              <w:szCs w:val="20"/>
                            </w:rPr>
                            <m:t>z</m:t>
                          </m:r>
                        </m:e>
                        <m:sub>
                          <m:r>
                            <w:rPr>
                              <w:rFonts w:ascii="Cambria Math" w:hAnsi="Cambria Math" w:cs="Calibri"/>
                              <w:sz w:val="20"/>
                              <w:szCs w:val="20"/>
                            </w:rPr>
                            <m:t>i</m:t>
                          </m:r>
                        </m:sub>
                        <m:sup>
                          <m:r>
                            <w:rPr>
                              <w:rFonts w:ascii="Cambria Math" w:hAnsi="Cambria Math" w:cs="Calibri"/>
                              <w:sz w:val="20"/>
                              <w:szCs w:val="20"/>
                            </w:rPr>
                            <m:t>t</m:t>
                          </m:r>
                        </m:sup>
                      </m:sSubSup>
                    </m:e>
                  </m:rad>
                </m:num>
                <m:den>
                  <m:rad>
                    <m:radPr>
                      <m:degHide m:val="1"/>
                      <m:ctrlPr>
                        <w:rPr>
                          <w:rFonts w:ascii="Cambria Math" w:hAnsi="Cambria Math" w:cs="Calibri"/>
                          <w:i/>
                          <w:sz w:val="20"/>
                          <w:szCs w:val="20"/>
                        </w:rPr>
                      </m:ctrlPr>
                    </m:radPr>
                    <m:deg/>
                    <m:e>
                      <m:r>
                        <w:rPr>
                          <w:rFonts w:ascii="Cambria Math" w:hAnsi="Cambria Math" w:cs="Calibri"/>
                          <w:sz w:val="20"/>
                          <w:szCs w:val="20"/>
                        </w:rPr>
                        <m:t xml:space="preserve">1  </m:t>
                      </m:r>
                    </m:e>
                  </m:rad>
                  <m:r>
                    <w:rPr>
                      <w:rFonts w:ascii="Cambria Math" w:hAnsi="Cambria Math" w:cs="Calibri"/>
                      <w:sz w:val="20"/>
                      <w:szCs w:val="20"/>
                    </w:rPr>
                    <m:t>-ρ</m:t>
                  </m:r>
                </m:den>
              </m:f>
            </m:e>
          </m:d>
        </m:oMath>
      </m:oMathPara>
    </w:p>
    <w:p w14:paraId="6901FE0C" w14:textId="77777777" w:rsidR="00FF721A" w:rsidRPr="00F32EE9" w:rsidRDefault="00FF721A" w:rsidP="00FF721A">
      <w:pPr>
        <w:rPr>
          <w:rFonts w:cs="Calibri"/>
        </w:rPr>
      </w:pPr>
    </w:p>
    <w:p w14:paraId="01D8D007" w14:textId="7D8604AA" w:rsidR="00807541" w:rsidRPr="00F32EE9" w:rsidRDefault="00807541" w:rsidP="00807541">
      <w:pPr>
        <w:pStyle w:val="BodyText"/>
        <w:spacing w:before="66"/>
        <w:rPr>
          <w:rFonts w:ascii="Aptos Narrow" w:hAnsi="Aptos Narrow"/>
        </w:rPr>
      </w:pPr>
      <w:r w:rsidRPr="00F32EE9">
        <w:rPr>
          <w:rFonts w:ascii="Aptos Narrow" w:hAnsi="Aptos Narrow"/>
          <w:spacing w:val="-2"/>
        </w:rPr>
        <w:t>Where,</w:t>
      </w:r>
    </w:p>
    <w:p w14:paraId="60F0C355" w14:textId="77777777" w:rsidR="00D77EA2" w:rsidRPr="00F32EE9" w:rsidRDefault="00F640DC" w:rsidP="005A6AE3">
      <w:pPr>
        <w:pStyle w:val="BodyText"/>
        <w:numPr>
          <w:ilvl w:val="0"/>
          <w:numId w:val="18"/>
        </w:numPr>
        <w:spacing w:after="0"/>
        <w:ind w:right="2273"/>
        <w:rPr>
          <w:rFonts w:cs="Calibri"/>
          <w:i/>
          <w:iCs/>
        </w:rPr>
      </w:pPr>
      <w:r w:rsidRPr="00F32EE9">
        <w:rPr>
          <w:rFonts w:cs="Calibri"/>
          <w:i/>
          <w:iCs/>
          <w:position w:val="2"/>
        </w:rPr>
        <w:t>PD</w:t>
      </w:r>
      <w:r w:rsidRPr="00F32EE9">
        <w:rPr>
          <w:rFonts w:cs="Calibri"/>
          <w:i/>
          <w:iCs/>
          <w:sz w:val="11"/>
        </w:rPr>
        <w:t>i:</w:t>
      </w:r>
      <w:r w:rsidR="00807541" w:rsidRPr="00F32EE9">
        <w:rPr>
          <w:rFonts w:cs="Calibri"/>
          <w:i/>
          <w:iCs/>
          <w:spacing w:val="-3"/>
          <w:position w:val="2"/>
        </w:rPr>
        <w:t xml:space="preserve"> </w:t>
      </w:r>
      <w:r w:rsidR="00807541" w:rsidRPr="00F32EE9">
        <w:rPr>
          <w:rFonts w:cs="Calibri"/>
          <w:i/>
          <w:iCs/>
          <w:position w:val="2"/>
        </w:rPr>
        <w:t>Forward</w:t>
      </w:r>
      <w:r w:rsidR="00807541" w:rsidRPr="00F32EE9">
        <w:rPr>
          <w:rFonts w:cs="Calibri"/>
          <w:i/>
          <w:iCs/>
          <w:spacing w:val="-6"/>
          <w:position w:val="2"/>
        </w:rPr>
        <w:t xml:space="preserve"> </w:t>
      </w:r>
      <w:r w:rsidR="00807541" w:rsidRPr="00F32EE9">
        <w:rPr>
          <w:rFonts w:cs="Calibri"/>
          <w:i/>
          <w:iCs/>
          <w:position w:val="2"/>
        </w:rPr>
        <w:t>Looking</w:t>
      </w:r>
      <w:r w:rsidR="00807541" w:rsidRPr="00F32EE9">
        <w:rPr>
          <w:rFonts w:cs="Calibri"/>
          <w:i/>
          <w:iCs/>
          <w:spacing w:val="-4"/>
          <w:position w:val="2"/>
        </w:rPr>
        <w:t xml:space="preserve"> </w:t>
      </w:r>
      <w:r w:rsidR="00807541" w:rsidRPr="00F32EE9">
        <w:rPr>
          <w:rFonts w:cs="Calibri"/>
          <w:i/>
          <w:iCs/>
          <w:position w:val="2"/>
        </w:rPr>
        <w:t>Probability</w:t>
      </w:r>
      <w:r w:rsidR="00807541" w:rsidRPr="00F32EE9">
        <w:rPr>
          <w:rFonts w:cs="Calibri"/>
          <w:i/>
          <w:iCs/>
          <w:spacing w:val="-4"/>
          <w:position w:val="2"/>
        </w:rPr>
        <w:t xml:space="preserve"> </w:t>
      </w:r>
      <w:r w:rsidR="00807541" w:rsidRPr="00F32EE9">
        <w:rPr>
          <w:rFonts w:cs="Calibri"/>
          <w:i/>
          <w:iCs/>
          <w:position w:val="2"/>
        </w:rPr>
        <w:t>of</w:t>
      </w:r>
      <w:r w:rsidR="00807541" w:rsidRPr="00F32EE9">
        <w:rPr>
          <w:rFonts w:cs="Calibri"/>
          <w:i/>
          <w:iCs/>
          <w:spacing w:val="-4"/>
          <w:position w:val="2"/>
        </w:rPr>
        <w:t xml:space="preserve"> </w:t>
      </w:r>
      <w:r w:rsidR="00807541" w:rsidRPr="00F32EE9">
        <w:rPr>
          <w:rFonts w:cs="Calibri"/>
          <w:i/>
          <w:iCs/>
          <w:position w:val="2"/>
        </w:rPr>
        <w:t>default</w:t>
      </w:r>
      <w:r w:rsidR="00807541" w:rsidRPr="00F32EE9">
        <w:rPr>
          <w:rFonts w:cs="Calibri"/>
          <w:i/>
          <w:iCs/>
          <w:spacing w:val="-4"/>
          <w:position w:val="2"/>
        </w:rPr>
        <w:t xml:space="preserve"> </w:t>
      </w:r>
      <w:r w:rsidR="00807541" w:rsidRPr="00F32EE9">
        <w:rPr>
          <w:rFonts w:cs="Calibri"/>
          <w:i/>
          <w:iCs/>
          <w:position w:val="2"/>
        </w:rPr>
        <w:t>for</w:t>
      </w:r>
      <w:r w:rsidR="00807541" w:rsidRPr="00F32EE9">
        <w:rPr>
          <w:rFonts w:cs="Calibri"/>
          <w:i/>
          <w:iCs/>
          <w:spacing w:val="-5"/>
          <w:position w:val="2"/>
        </w:rPr>
        <w:t xml:space="preserve"> </w:t>
      </w:r>
      <w:r w:rsidR="00807541" w:rsidRPr="00F32EE9">
        <w:rPr>
          <w:rFonts w:cs="Calibri"/>
          <w:i/>
          <w:iCs/>
          <w:position w:val="2"/>
        </w:rPr>
        <w:t>a</w:t>
      </w:r>
      <w:r w:rsidR="00807541" w:rsidRPr="00F32EE9">
        <w:rPr>
          <w:rFonts w:cs="Calibri"/>
          <w:i/>
          <w:iCs/>
          <w:spacing w:val="-2"/>
          <w:position w:val="2"/>
        </w:rPr>
        <w:t xml:space="preserve"> </w:t>
      </w:r>
      <w:r w:rsidR="00807541" w:rsidRPr="00F32EE9">
        <w:rPr>
          <w:rFonts w:cs="Calibri"/>
          <w:i/>
          <w:iCs/>
          <w:position w:val="2"/>
        </w:rPr>
        <w:t>DPD</w:t>
      </w:r>
      <w:r w:rsidR="00807541" w:rsidRPr="00F32EE9">
        <w:rPr>
          <w:rFonts w:cs="Calibri"/>
          <w:i/>
          <w:iCs/>
          <w:spacing w:val="-4"/>
          <w:position w:val="2"/>
        </w:rPr>
        <w:t xml:space="preserve"> </w:t>
      </w:r>
      <w:r w:rsidR="00807541" w:rsidRPr="00F32EE9">
        <w:rPr>
          <w:rFonts w:cs="Calibri"/>
          <w:i/>
          <w:iCs/>
          <w:position w:val="2"/>
        </w:rPr>
        <w:t>bucket,</w:t>
      </w:r>
      <w:r w:rsidR="00807541" w:rsidRPr="00F32EE9">
        <w:rPr>
          <w:rFonts w:cs="Calibri"/>
          <w:i/>
          <w:iCs/>
          <w:spacing w:val="-5"/>
          <w:position w:val="2"/>
        </w:rPr>
        <w:t xml:space="preserve"> </w:t>
      </w:r>
      <w:r w:rsidR="00807541" w:rsidRPr="00F32EE9">
        <w:rPr>
          <w:rFonts w:cs="Calibri"/>
          <w:i/>
          <w:iCs/>
          <w:position w:val="2"/>
        </w:rPr>
        <w:t>will</w:t>
      </w:r>
      <w:r w:rsidR="00807541" w:rsidRPr="00F32EE9">
        <w:rPr>
          <w:rFonts w:cs="Calibri"/>
          <w:i/>
          <w:iCs/>
          <w:spacing w:val="-2"/>
          <w:position w:val="2"/>
        </w:rPr>
        <w:t xml:space="preserve"> </w:t>
      </w:r>
      <w:r w:rsidR="00807541" w:rsidRPr="00F32EE9">
        <w:rPr>
          <w:rFonts w:cs="Calibri"/>
          <w:i/>
          <w:iCs/>
          <w:position w:val="2"/>
        </w:rPr>
        <w:t>be</w:t>
      </w:r>
      <w:r w:rsidR="00807541" w:rsidRPr="00F32EE9">
        <w:rPr>
          <w:rFonts w:cs="Calibri"/>
          <w:i/>
          <w:iCs/>
          <w:spacing w:val="-5"/>
          <w:position w:val="2"/>
        </w:rPr>
        <w:t xml:space="preserve"> </w:t>
      </w:r>
      <w:r w:rsidR="00807541" w:rsidRPr="00F32EE9">
        <w:rPr>
          <w:rFonts w:cs="Calibri"/>
          <w:i/>
          <w:iCs/>
          <w:position w:val="2"/>
        </w:rPr>
        <w:t>equal</w:t>
      </w:r>
      <w:r w:rsidR="00807541" w:rsidRPr="00F32EE9">
        <w:rPr>
          <w:rFonts w:cs="Calibri"/>
          <w:i/>
          <w:iCs/>
          <w:spacing w:val="-1"/>
          <w:position w:val="2"/>
        </w:rPr>
        <w:t xml:space="preserve"> </w:t>
      </w:r>
      <w:r w:rsidR="00807541" w:rsidRPr="00F32EE9">
        <w:rPr>
          <w:rFonts w:cs="Calibri"/>
          <w:i/>
          <w:iCs/>
          <w:position w:val="2"/>
        </w:rPr>
        <w:t>to</w:t>
      </w:r>
      <w:r w:rsidR="00807541" w:rsidRPr="00F32EE9">
        <w:rPr>
          <w:rFonts w:cs="Calibri"/>
          <w:i/>
          <w:iCs/>
          <w:spacing w:val="-3"/>
          <w:position w:val="2"/>
        </w:rPr>
        <w:t xml:space="preserve"> </w:t>
      </w:r>
      <w:r w:rsidR="00807541" w:rsidRPr="00F32EE9">
        <w:rPr>
          <w:rFonts w:cs="Calibri"/>
          <w:i/>
          <w:iCs/>
          <w:position w:val="2"/>
        </w:rPr>
        <w:t>1,</w:t>
      </w:r>
      <w:r w:rsidR="00807541" w:rsidRPr="00F32EE9">
        <w:rPr>
          <w:rFonts w:cs="Calibri"/>
          <w:i/>
          <w:iCs/>
          <w:spacing w:val="-2"/>
          <w:position w:val="2"/>
        </w:rPr>
        <w:t xml:space="preserve"> </w:t>
      </w:r>
      <w:r w:rsidR="00807541" w:rsidRPr="00F32EE9">
        <w:rPr>
          <w:rFonts w:cs="Calibri"/>
          <w:i/>
          <w:iCs/>
          <w:position w:val="2"/>
        </w:rPr>
        <w:t>if</w:t>
      </w:r>
      <w:r w:rsidR="00807541" w:rsidRPr="00F32EE9">
        <w:rPr>
          <w:rFonts w:cs="Calibri"/>
          <w:i/>
          <w:iCs/>
          <w:spacing w:val="-2"/>
          <w:position w:val="2"/>
        </w:rPr>
        <w:t xml:space="preserve"> </w:t>
      </w:r>
      <w:r w:rsidR="00807541" w:rsidRPr="00F32EE9">
        <w:rPr>
          <w:rFonts w:cs="Calibri"/>
          <w:i/>
          <w:iCs/>
          <w:position w:val="2"/>
        </w:rPr>
        <w:t>TTC</w:t>
      </w:r>
      <w:r w:rsidR="00807541" w:rsidRPr="00F32EE9">
        <w:rPr>
          <w:rFonts w:cs="Calibri"/>
          <w:i/>
          <w:iCs/>
          <w:spacing w:val="-2"/>
          <w:position w:val="2"/>
        </w:rPr>
        <w:t xml:space="preserve"> </w:t>
      </w:r>
    </w:p>
    <w:p w14:paraId="75B13C62" w14:textId="6D7948F5" w:rsidR="00807541" w:rsidRPr="00F32EE9" w:rsidRDefault="00807541" w:rsidP="005A6AE3">
      <w:pPr>
        <w:pStyle w:val="BodyText"/>
        <w:numPr>
          <w:ilvl w:val="0"/>
          <w:numId w:val="18"/>
        </w:numPr>
        <w:spacing w:after="0"/>
        <w:ind w:right="2273"/>
        <w:rPr>
          <w:rFonts w:cs="Calibri"/>
          <w:i/>
          <w:iCs/>
        </w:rPr>
      </w:pPr>
      <w:r w:rsidRPr="00F32EE9">
        <w:rPr>
          <w:rFonts w:cs="Calibri"/>
          <w:i/>
          <w:iCs/>
          <w:position w:val="2"/>
        </w:rPr>
        <w:t>PD</w:t>
      </w:r>
      <w:r w:rsidRPr="00F32EE9">
        <w:rPr>
          <w:rFonts w:cs="Calibri"/>
          <w:i/>
          <w:iCs/>
          <w:spacing w:val="-3"/>
          <w:position w:val="2"/>
        </w:rPr>
        <w:t xml:space="preserve"> </w:t>
      </w:r>
      <w:r w:rsidRPr="00F32EE9">
        <w:rPr>
          <w:rFonts w:cs="Calibri"/>
          <w:i/>
          <w:iCs/>
          <w:position w:val="2"/>
        </w:rPr>
        <w:t>is</w:t>
      </w:r>
      <w:r w:rsidRPr="00F32EE9">
        <w:rPr>
          <w:rFonts w:cs="Calibri"/>
          <w:i/>
          <w:iCs/>
          <w:spacing w:val="-5"/>
          <w:position w:val="2"/>
        </w:rPr>
        <w:t xml:space="preserve"> </w:t>
      </w:r>
      <w:r w:rsidRPr="00F32EE9">
        <w:rPr>
          <w:rFonts w:cs="Calibri"/>
          <w:i/>
          <w:iCs/>
          <w:position w:val="2"/>
        </w:rPr>
        <w:t>1</w:t>
      </w:r>
      <w:r w:rsidRPr="00F32EE9">
        <w:rPr>
          <w:rFonts w:cs="Calibri"/>
          <w:i/>
          <w:iCs/>
          <w:spacing w:val="40"/>
          <w:position w:val="2"/>
        </w:rPr>
        <w:t xml:space="preserve"> </w:t>
      </w:r>
      <w:r w:rsidRPr="00F32EE9">
        <w:rPr>
          <w:rFonts w:cs="Calibri"/>
          <w:i/>
          <w:iCs/>
        </w:rPr>
        <w:t xml:space="preserve"> </w:t>
      </w:r>
      <w:r w:rsidR="00E678B4" w:rsidRPr="00F32EE9">
        <w:rPr>
          <w:rFonts w:cs="Calibri"/>
          <w:i/>
          <w:iCs/>
          <w:noProof/>
        </w:rPr>
        <w:drawing>
          <wp:inline distT="0" distB="0" distL="0" distR="0" wp14:anchorId="246FB704" wp14:editId="6CCCCC7F">
            <wp:extent cx="176783" cy="86867"/>
            <wp:effectExtent l="0" t="0" r="0" b="0"/>
            <wp:docPr id="496" name="Image 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9" cstate="print"/>
                    <a:stretch>
                      <a:fillRect/>
                    </a:stretch>
                  </pic:blipFill>
                  <pic:spPr>
                    <a:xfrm>
                      <a:off x="0" y="0"/>
                      <a:ext cx="176783" cy="86867"/>
                    </a:xfrm>
                    <a:prstGeom prst="rect">
                      <a:avLst/>
                    </a:prstGeom>
                  </pic:spPr>
                </pic:pic>
              </a:graphicData>
            </a:graphic>
          </wp:inline>
        </w:drawing>
      </w:r>
      <w:r w:rsidR="0068638D" w:rsidRPr="00F32EE9">
        <w:rPr>
          <w:rFonts w:cs="Calibri"/>
          <w:i/>
          <w:iCs/>
        </w:rPr>
        <w:t>(.)</w:t>
      </w:r>
      <w:r w:rsidR="00097DA0" w:rsidRPr="00F32EE9">
        <w:rPr>
          <w:rFonts w:cs="Calibri"/>
          <w:i/>
          <w:iCs/>
        </w:rPr>
        <w:t>: Normal</w:t>
      </w:r>
      <w:r w:rsidRPr="00F32EE9">
        <w:rPr>
          <w:rFonts w:cs="Calibri"/>
          <w:i/>
          <w:iCs/>
        </w:rPr>
        <w:t xml:space="preserve"> Inverse function</w:t>
      </w:r>
    </w:p>
    <w:p w14:paraId="2B668360" w14:textId="15A69C98" w:rsidR="00807541" w:rsidRPr="00F32EE9" w:rsidRDefault="00727930" w:rsidP="005A6AE3">
      <w:pPr>
        <w:pStyle w:val="BodyText"/>
        <w:numPr>
          <w:ilvl w:val="0"/>
          <w:numId w:val="18"/>
        </w:numPr>
        <w:spacing w:after="0"/>
        <w:rPr>
          <w:rFonts w:cs="Calibri"/>
          <w:i/>
          <w:iCs/>
          <w:position w:val="1"/>
        </w:rPr>
      </w:pPr>
      <w:r w:rsidRPr="00F32EE9">
        <w:rPr>
          <w:i/>
          <w:iCs/>
        </w:rPr>
        <w:pict w14:anchorId="48BF8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97" o:spid="_x0000_i1025" type="#_x0000_t75" style="width:4.2pt;height:4.2pt;visibility:visible">
            <v:imagedata r:id="rId10" o:title=""/>
            <o:lock v:ext="edit" aspectratio="f"/>
          </v:shape>
        </w:pict>
      </w:r>
      <w:r w:rsidR="0068638D" w:rsidRPr="00F32EE9">
        <w:rPr>
          <w:rFonts w:cs="Calibri"/>
          <w:i/>
          <w:iCs/>
          <w:position w:val="1"/>
        </w:rPr>
        <w:t>(.)</w:t>
      </w:r>
      <w:r w:rsidR="00097DA0" w:rsidRPr="00F32EE9">
        <w:rPr>
          <w:rFonts w:cs="Calibri"/>
          <w:i/>
          <w:iCs/>
          <w:spacing w:val="-5"/>
          <w:position w:val="1"/>
        </w:rPr>
        <w:t>:</w:t>
      </w:r>
      <w:r w:rsidR="00097DA0" w:rsidRPr="00F32EE9">
        <w:rPr>
          <w:rFonts w:cs="Calibri"/>
          <w:i/>
          <w:iCs/>
          <w:spacing w:val="-3"/>
          <w:position w:val="1"/>
        </w:rPr>
        <w:t xml:space="preserve"> Normal</w:t>
      </w:r>
      <w:r w:rsidR="00807541" w:rsidRPr="00F32EE9">
        <w:rPr>
          <w:rFonts w:cs="Calibri"/>
          <w:i/>
          <w:iCs/>
          <w:spacing w:val="-5"/>
          <w:position w:val="1"/>
        </w:rPr>
        <w:t xml:space="preserve"> </w:t>
      </w:r>
      <w:r w:rsidR="00807541" w:rsidRPr="00F32EE9">
        <w:rPr>
          <w:rFonts w:cs="Calibri"/>
          <w:i/>
          <w:iCs/>
          <w:position w:val="1"/>
        </w:rPr>
        <w:t>Distance</w:t>
      </w:r>
      <w:r w:rsidR="00807541" w:rsidRPr="00F32EE9">
        <w:rPr>
          <w:rFonts w:cs="Calibri"/>
          <w:i/>
          <w:iCs/>
          <w:spacing w:val="-5"/>
          <w:position w:val="1"/>
        </w:rPr>
        <w:t xml:space="preserve"> </w:t>
      </w:r>
      <w:r w:rsidR="00807541" w:rsidRPr="00F32EE9">
        <w:rPr>
          <w:rFonts w:cs="Calibri"/>
          <w:i/>
          <w:iCs/>
          <w:spacing w:val="-2"/>
          <w:position w:val="1"/>
        </w:rPr>
        <w:t>function</w:t>
      </w:r>
    </w:p>
    <w:p w14:paraId="16CAC987" w14:textId="19B691B3" w:rsidR="00807541" w:rsidRPr="00F32EE9" w:rsidRDefault="00F640DC" w:rsidP="005A6AE3">
      <w:pPr>
        <w:pStyle w:val="BodyText"/>
        <w:numPr>
          <w:ilvl w:val="0"/>
          <w:numId w:val="18"/>
        </w:numPr>
        <w:spacing w:after="0"/>
        <w:rPr>
          <w:rFonts w:cs="Calibri"/>
          <w:i/>
          <w:iCs/>
          <w:position w:val="2"/>
        </w:rPr>
      </w:pPr>
      <w:r w:rsidRPr="00F32EE9">
        <w:rPr>
          <w:rFonts w:cs="Calibri"/>
          <w:i/>
          <w:iCs/>
          <w:position w:val="2"/>
        </w:rPr>
        <w:t>PD</w:t>
      </w:r>
      <w:r w:rsidRPr="00F32EE9">
        <w:rPr>
          <w:rFonts w:cs="Calibri"/>
          <w:i/>
          <w:iCs/>
          <w:sz w:val="11"/>
        </w:rPr>
        <w:t>TTC</w:t>
      </w:r>
      <w:r w:rsidR="00097DA0" w:rsidRPr="00F32EE9">
        <w:rPr>
          <w:rFonts w:cs="Calibri"/>
          <w:i/>
          <w:iCs/>
          <w:spacing w:val="-1"/>
          <w:sz w:val="11"/>
        </w:rPr>
        <w:t>:</w:t>
      </w:r>
      <w:r w:rsidR="00097DA0" w:rsidRPr="00F32EE9">
        <w:rPr>
          <w:rFonts w:cs="Calibri"/>
          <w:i/>
          <w:iCs/>
          <w:spacing w:val="-3"/>
          <w:position w:val="2"/>
        </w:rPr>
        <w:t>:</w:t>
      </w:r>
      <w:r w:rsidR="002C52EA" w:rsidRPr="00F32EE9">
        <w:rPr>
          <w:rFonts w:cs="Calibri"/>
          <w:i/>
          <w:iCs/>
          <w:spacing w:val="-3"/>
          <w:position w:val="2"/>
        </w:rPr>
        <w:t xml:space="preserve"> </w:t>
      </w:r>
      <w:r w:rsidR="00807541" w:rsidRPr="00F32EE9">
        <w:rPr>
          <w:rFonts w:cs="Calibri"/>
          <w:i/>
          <w:iCs/>
          <w:position w:val="2"/>
        </w:rPr>
        <w:t>TTC Prob</w:t>
      </w:r>
      <w:r w:rsidR="00807541" w:rsidRPr="00F32EE9">
        <w:rPr>
          <w:rFonts w:cs="Calibri"/>
          <w:i/>
          <w:iCs/>
          <w:spacing w:val="-4"/>
          <w:position w:val="2"/>
        </w:rPr>
        <w:t xml:space="preserve"> </w:t>
      </w:r>
      <w:r w:rsidR="00807541" w:rsidRPr="00F32EE9">
        <w:rPr>
          <w:rFonts w:cs="Calibri"/>
          <w:i/>
          <w:iCs/>
          <w:position w:val="2"/>
        </w:rPr>
        <w:t>of</w:t>
      </w:r>
      <w:r w:rsidR="00807541" w:rsidRPr="00F32EE9">
        <w:rPr>
          <w:rFonts w:cs="Calibri"/>
          <w:i/>
          <w:iCs/>
          <w:spacing w:val="-4"/>
          <w:position w:val="2"/>
        </w:rPr>
        <w:t xml:space="preserve"> </w:t>
      </w:r>
      <w:r w:rsidR="00807541" w:rsidRPr="00F32EE9">
        <w:rPr>
          <w:rFonts w:cs="Calibri"/>
          <w:i/>
          <w:iCs/>
          <w:position w:val="2"/>
        </w:rPr>
        <w:t>default</w:t>
      </w:r>
      <w:r w:rsidR="00807541" w:rsidRPr="00F32EE9">
        <w:rPr>
          <w:rFonts w:cs="Calibri"/>
          <w:i/>
          <w:iCs/>
          <w:spacing w:val="-1"/>
          <w:position w:val="2"/>
        </w:rPr>
        <w:t xml:space="preserve"> </w:t>
      </w:r>
      <w:r w:rsidR="00807541" w:rsidRPr="00F32EE9">
        <w:rPr>
          <w:rFonts w:cs="Calibri"/>
          <w:i/>
          <w:iCs/>
          <w:position w:val="2"/>
        </w:rPr>
        <w:t>for</w:t>
      </w:r>
      <w:r w:rsidR="00807541" w:rsidRPr="00F32EE9">
        <w:rPr>
          <w:rFonts w:cs="Calibri"/>
          <w:i/>
          <w:iCs/>
          <w:spacing w:val="-5"/>
          <w:position w:val="2"/>
        </w:rPr>
        <w:t xml:space="preserve"> </w:t>
      </w:r>
      <w:r w:rsidR="00807541" w:rsidRPr="00F32EE9">
        <w:rPr>
          <w:rFonts w:cs="Calibri"/>
          <w:i/>
          <w:iCs/>
          <w:position w:val="2"/>
        </w:rPr>
        <w:t>DPD</w:t>
      </w:r>
      <w:r w:rsidR="00807541" w:rsidRPr="00F32EE9">
        <w:rPr>
          <w:rFonts w:cs="Calibri"/>
          <w:i/>
          <w:iCs/>
          <w:spacing w:val="-3"/>
          <w:position w:val="2"/>
        </w:rPr>
        <w:t xml:space="preserve"> </w:t>
      </w:r>
      <w:r w:rsidR="00807541" w:rsidRPr="00F32EE9">
        <w:rPr>
          <w:rFonts w:cs="Calibri"/>
          <w:i/>
          <w:iCs/>
          <w:position w:val="2"/>
        </w:rPr>
        <w:t>bucket</w:t>
      </w:r>
      <w:r w:rsidR="00807541" w:rsidRPr="00F32EE9">
        <w:rPr>
          <w:rFonts w:cs="Calibri"/>
          <w:i/>
          <w:iCs/>
          <w:spacing w:val="-4"/>
          <w:position w:val="2"/>
        </w:rPr>
        <w:t xml:space="preserve"> </w:t>
      </w:r>
      <w:proofErr w:type="spellStart"/>
      <w:r w:rsidR="00807541" w:rsidRPr="00F32EE9">
        <w:rPr>
          <w:rFonts w:cs="Calibri"/>
          <w:i/>
          <w:iCs/>
          <w:spacing w:val="-10"/>
          <w:position w:val="2"/>
        </w:rPr>
        <w:t>i</w:t>
      </w:r>
      <w:proofErr w:type="spellEnd"/>
    </w:p>
    <w:p w14:paraId="73BE1A1A" w14:textId="3F25FA1B" w:rsidR="0047681C" w:rsidRPr="00F32EE9" w:rsidRDefault="00864A6B" w:rsidP="005A6AE3">
      <w:pPr>
        <w:pStyle w:val="BodyText"/>
        <w:numPr>
          <w:ilvl w:val="0"/>
          <w:numId w:val="18"/>
        </w:numPr>
        <w:spacing w:after="0"/>
        <w:rPr>
          <w:rFonts w:cs="Calibri"/>
          <w:i/>
          <w:iCs/>
          <w:spacing w:val="-2"/>
        </w:rPr>
      </w:pPr>
      <w:r w:rsidRPr="00F32EE9">
        <w:rPr>
          <w:rFonts w:cs="Calibri"/>
          <w:i/>
          <w:iCs/>
          <w:position w:val="-2"/>
          <w:vertAlign w:val="subscript"/>
        </w:rPr>
        <w:t>i</w:t>
      </w:r>
      <w:r w:rsidRPr="00F32EE9">
        <w:rPr>
          <w:rFonts w:cs="Calibri"/>
          <w:i/>
          <w:iCs/>
          <w:spacing w:val="-14"/>
          <w:position w:val="-2"/>
        </w:rPr>
        <w:t>:</w:t>
      </w:r>
      <w:r w:rsidR="00807541" w:rsidRPr="00F32EE9">
        <w:rPr>
          <w:rFonts w:cs="Calibri"/>
          <w:i/>
          <w:iCs/>
          <w:spacing w:val="-7"/>
        </w:rPr>
        <w:t xml:space="preserve"> </w:t>
      </w:r>
      <w:r w:rsidR="00807541" w:rsidRPr="00F32EE9">
        <w:rPr>
          <w:rFonts w:cs="Calibri"/>
          <w:i/>
          <w:iCs/>
        </w:rPr>
        <w:t>Asset</w:t>
      </w:r>
      <w:r w:rsidR="00807541" w:rsidRPr="00F32EE9">
        <w:rPr>
          <w:rFonts w:cs="Calibri"/>
          <w:i/>
          <w:iCs/>
          <w:spacing w:val="-6"/>
        </w:rPr>
        <w:t xml:space="preserve"> </w:t>
      </w:r>
      <w:r w:rsidR="00807541" w:rsidRPr="00F32EE9">
        <w:rPr>
          <w:rFonts w:cs="Calibri"/>
          <w:i/>
          <w:iCs/>
        </w:rPr>
        <w:t>correlation</w:t>
      </w:r>
      <w:r w:rsidR="00807541" w:rsidRPr="00F32EE9">
        <w:rPr>
          <w:rFonts w:cs="Calibri"/>
          <w:i/>
          <w:iCs/>
          <w:spacing w:val="-4"/>
        </w:rPr>
        <w:t xml:space="preserve"> </w:t>
      </w:r>
      <w:r w:rsidR="00807541" w:rsidRPr="00F32EE9">
        <w:rPr>
          <w:rFonts w:cs="Calibri"/>
          <w:i/>
          <w:iCs/>
          <w:spacing w:val="-2"/>
        </w:rPr>
        <w:t>parameter</w:t>
      </w:r>
    </w:p>
    <w:p w14:paraId="648660A2" w14:textId="7150D21F" w:rsidR="00FF721A" w:rsidRPr="00F32EE9" w:rsidRDefault="00A44EFE" w:rsidP="005A6AE3">
      <w:pPr>
        <w:pStyle w:val="Heading4"/>
        <w:numPr>
          <w:ilvl w:val="2"/>
          <w:numId w:val="26"/>
        </w:numPr>
      </w:pPr>
      <w:r w:rsidRPr="00F32EE9">
        <w:t xml:space="preserve">Marginal </w:t>
      </w:r>
      <w:r w:rsidR="00A67579" w:rsidRPr="00F32EE9">
        <w:t>PD</w:t>
      </w:r>
    </w:p>
    <w:p w14:paraId="0D4DBC62" w14:textId="6BB2F0FB" w:rsidR="0047681C" w:rsidRPr="00F32EE9" w:rsidRDefault="0047681C" w:rsidP="00190AEF">
      <w:pPr>
        <w:jc w:val="both"/>
        <w:rPr>
          <w:rFonts w:cs="Calibri"/>
        </w:rPr>
      </w:pPr>
      <w:r w:rsidRPr="00F32EE9">
        <w:rPr>
          <w:rFonts w:cs="Calibri"/>
        </w:rPr>
        <w:t>The Point-in-Time (P</w:t>
      </w:r>
      <w:r w:rsidR="003E795A" w:rsidRPr="00F32EE9">
        <w:rPr>
          <w:rFonts w:cs="Calibri"/>
        </w:rPr>
        <w:t>I</w:t>
      </w:r>
      <w:r w:rsidRPr="00F32EE9">
        <w:rPr>
          <w:rFonts w:cs="Calibri"/>
        </w:rPr>
        <w:t xml:space="preserve">T) Probability of Default (PD), derived from the </w:t>
      </w:r>
      <w:r w:rsidR="00C0574F" w:rsidRPr="00F32EE9">
        <w:rPr>
          <w:rFonts w:cs="Calibri"/>
        </w:rPr>
        <w:t>Vasicek-based</w:t>
      </w:r>
      <w:r w:rsidRPr="00F32EE9">
        <w:rPr>
          <w:rFonts w:cs="Calibri"/>
        </w:rPr>
        <w:t xml:space="preserve"> analysis detailed in the preceding section, represents a 12-month PD. </w:t>
      </w:r>
    </w:p>
    <w:p w14:paraId="0DCCFC4F" w14:textId="5038188D" w:rsidR="00A67579" w:rsidRPr="00F32EE9" w:rsidRDefault="0047681C" w:rsidP="00190AEF">
      <w:pPr>
        <w:jc w:val="both"/>
        <w:rPr>
          <w:rFonts w:cs="Calibri"/>
        </w:rPr>
      </w:pPr>
      <w:r w:rsidRPr="00F32EE9">
        <w:rPr>
          <w:rFonts w:cs="Calibri"/>
        </w:rPr>
        <w:t>For Stage 2 exposures, a lifetime PD is required, which is determined over the expected life of the exposure. The calculation follows these steps:</w:t>
      </w:r>
    </w:p>
    <w:p w14:paraId="2C99D575" w14:textId="441FF035" w:rsidR="006811FB" w:rsidRPr="00F32EE9" w:rsidRDefault="006811FB" w:rsidP="005A6AE3">
      <w:pPr>
        <w:numPr>
          <w:ilvl w:val="0"/>
          <w:numId w:val="10"/>
        </w:numPr>
        <w:tabs>
          <w:tab w:val="clear" w:pos="360"/>
          <w:tab w:val="num" w:pos="720"/>
        </w:tabs>
        <w:spacing w:after="0"/>
        <w:ind w:left="357" w:hanging="357"/>
        <w:jc w:val="both"/>
        <w:rPr>
          <w:rFonts w:cs="Calibri"/>
          <w:lang w:val="en-IN"/>
        </w:rPr>
      </w:pPr>
      <w:r w:rsidRPr="00F32EE9">
        <w:rPr>
          <w:rFonts w:cs="Calibri"/>
          <w:lang w:val="en-IN"/>
        </w:rPr>
        <w:t>The year-on-year forecasted P</w:t>
      </w:r>
      <w:r w:rsidR="003D0BBC" w:rsidRPr="00F32EE9">
        <w:rPr>
          <w:rFonts w:cs="Calibri"/>
          <w:lang w:val="en-IN"/>
        </w:rPr>
        <w:t>I</w:t>
      </w:r>
      <w:r w:rsidRPr="00F32EE9">
        <w:rPr>
          <w:rFonts w:cs="Calibri"/>
          <w:lang w:val="en-IN"/>
        </w:rPr>
        <w:t>T PDs form the PD term structure.</w:t>
      </w:r>
    </w:p>
    <w:p w14:paraId="13AD9A7F" w14:textId="1695B265" w:rsidR="00B45793" w:rsidRPr="00F32EE9" w:rsidRDefault="006811FB" w:rsidP="005A6AE3">
      <w:pPr>
        <w:numPr>
          <w:ilvl w:val="0"/>
          <w:numId w:val="10"/>
        </w:numPr>
        <w:tabs>
          <w:tab w:val="clear" w:pos="360"/>
          <w:tab w:val="num" w:pos="720"/>
        </w:tabs>
        <w:spacing w:after="0"/>
        <w:ind w:left="357" w:hanging="357"/>
        <w:jc w:val="both"/>
        <w:rPr>
          <w:rFonts w:cs="Calibri"/>
          <w:lang w:val="en-IN"/>
        </w:rPr>
      </w:pPr>
      <w:r w:rsidRPr="00F32EE9">
        <w:rPr>
          <w:rFonts w:cs="Calibri"/>
          <w:lang w:val="en-IN"/>
        </w:rPr>
        <w:t>Each yearly P</w:t>
      </w:r>
      <w:r w:rsidR="009E68B4" w:rsidRPr="00F32EE9">
        <w:rPr>
          <w:rFonts w:cs="Calibri"/>
          <w:lang w:val="en-IN"/>
        </w:rPr>
        <w:t>I</w:t>
      </w:r>
      <w:r w:rsidRPr="00F32EE9">
        <w:rPr>
          <w:rFonts w:cs="Calibri"/>
          <w:lang w:val="en-IN"/>
        </w:rPr>
        <w:t>T PD is then converted into a marginal PD for lifetime ECL computation.</w:t>
      </w:r>
    </w:p>
    <w:p w14:paraId="0FDF0542" w14:textId="5649AAEB" w:rsidR="009E68B4" w:rsidRPr="00F32EE9" w:rsidRDefault="006811FB" w:rsidP="009E68B4">
      <w:pPr>
        <w:spacing w:after="0"/>
        <w:rPr>
          <w:rFonts w:cs="Calibri"/>
          <w:lang w:val="en-IN"/>
        </w:rPr>
      </w:pPr>
      <w:r w:rsidRPr="00F32EE9">
        <w:rPr>
          <w:rFonts w:cs="Calibri"/>
          <w:lang w:val="en-IN"/>
        </w:rPr>
        <w:t>The following formulas are applied for the conversion:</w:t>
      </w:r>
    </w:p>
    <w:p w14:paraId="5B67E7B2" w14:textId="038057F2" w:rsidR="00245894" w:rsidRPr="00F32EE9" w:rsidRDefault="00245894" w:rsidP="009E68B4">
      <w:pPr>
        <w:spacing w:after="0"/>
        <w:jc w:val="center"/>
        <w:rPr>
          <w:rFonts w:asciiTheme="minorHAnsi" w:hAnsiTheme="minorHAnsi" w:cs="Calibri"/>
          <w:sz w:val="20"/>
          <w:szCs w:val="20"/>
          <w:lang w:val="en-IN"/>
        </w:rPr>
      </w:pPr>
      <w:r w:rsidRPr="00F32EE9">
        <w:rPr>
          <w:rFonts w:cs="Calibri"/>
          <w:lang w:val="en-IN"/>
        </w:rPr>
        <w:br/>
      </w:r>
      <w:r w:rsidRPr="00F32EE9">
        <w:rPr>
          <w:rFonts w:asciiTheme="minorHAnsi" w:hAnsiTheme="minorHAnsi" w:cs="Calibri"/>
          <w:i/>
          <w:iCs/>
          <w:sz w:val="20"/>
          <w:szCs w:val="20"/>
          <w:lang w:val="en-IN"/>
        </w:rPr>
        <w:t xml:space="preserve">Cumulative </w:t>
      </w:r>
      <w:proofErr w:type="spellStart"/>
      <w:r w:rsidRPr="00F32EE9">
        <w:rPr>
          <w:rFonts w:asciiTheme="minorHAnsi" w:hAnsiTheme="minorHAnsi" w:cs="Calibri"/>
          <w:i/>
          <w:iCs/>
          <w:sz w:val="20"/>
          <w:szCs w:val="20"/>
          <w:lang w:val="en-IN"/>
        </w:rPr>
        <w:t>PD</w:t>
      </w:r>
      <w:r w:rsidR="00AE7F0B" w:rsidRPr="00F32EE9">
        <w:rPr>
          <w:rFonts w:asciiTheme="minorHAnsi" w:hAnsiTheme="minorHAnsi" w:cs="Calibri"/>
          <w:i/>
          <w:iCs/>
          <w:sz w:val="20"/>
          <w:szCs w:val="20"/>
          <w:vertAlign w:val="subscript"/>
          <w:lang w:val="en-IN"/>
        </w:rPr>
        <w:t>t</w:t>
      </w:r>
      <w:proofErr w:type="spellEnd"/>
      <w:r w:rsidR="00AE7F0B" w:rsidRPr="00F32EE9">
        <w:rPr>
          <w:rFonts w:asciiTheme="minorHAnsi" w:hAnsiTheme="minorHAnsi" w:cs="Calibri"/>
          <w:i/>
          <w:iCs/>
          <w:sz w:val="20"/>
          <w:szCs w:val="20"/>
          <w:lang w:val="en-IN"/>
        </w:rPr>
        <w:t xml:space="preserve"> = Cumulative PD</w:t>
      </w:r>
      <w:r w:rsidR="00AE7F0B" w:rsidRPr="00F32EE9">
        <w:rPr>
          <w:rFonts w:asciiTheme="minorHAnsi" w:hAnsiTheme="minorHAnsi" w:cs="Calibri"/>
          <w:i/>
          <w:iCs/>
          <w:sz w:val="20"/>
          <w:szCs w:val="20"/>
          <w:vertAlign w:val="subscript"/>
          <w:lang w:val="en-IN"/>
        </w:rPr>
        <w:t xml:space="preserve">t-1 </w:t>
      </w:r>
      <w:r w:rsidR="00AE7F0B" w:rsidRPr="00F32EE9">
        <w:rPr>
          <w:rFonts w:asciiTheme="minorHAnsi" w:hAnsiTheme="minorHAnsi" w:cs="Calibri"/>
          <w:i/>
          <w:iCs/>
          <w:sz w:val="20"/>
          <w:szCs w:val="20"/>
          <w:lang w:val="en-IN"/>
        </w:rPr>
        <w:t>+ (1- Cumulative PD</w:t>
      </w:r>
      <w:r w:rsidR="00AE7F0B" w:rsidRPr="00F32EE9">
        <w:rPr>
          <w:rFonts w:asciiTheme="minorHAnsi" w:hAnsiTheme="minorHAnsi" w:cs="Calibri"/>
          <w:i/>
          <w:iCs/>
          <w:sz w:val="20"/>
          <w:szCs w:val="20"/>
          <w:vertAlign w:val="subscript"/>
          <w:lang w:val="en-IN"/>
        </w:rPr>
        <w:t>t-1</w:t>
      </w:r>
      <w:r w:rsidR="00F8590D" w:rsidRPr="00F32EE9">
        <w:rPr>
          <w:rFonts w:asciiTheme="minorHAnsi" w:hAnsiTheme="minorHAnsi" w:cs="Calibri"/>
          <w:i/>
          <w:iCs/>
          <w:sz w:val="20"/>
          <w:szCs w:val="20"/>
          <w:lang w:val="en-IN"/>
        </w:rPr>
        <w:t xml:space="preserve">) </w:t>
      </w:r>
      <w:r w:rsidR="007E6FD1" w:rsidRPr="00F32EE9">
        <w:rPr>
          <w:rFonts w:asciiTheme="minorHAnsi" w:hAnsiTheme="minorHAnsi" w:cs="Calibri"/>
          <w:i/>
          <w:iCs/>
          <w:sz w:val="20"/>
          <w:szCs w:val="20"/>
          <w:lang w:val="en-IN"/>
        </w:rPr>
        <w:t xml:space="preserve">× (PIT </w:t>
      </w:r>
      <w:proofErr w:type="spellStart"/>
      <w:r w:rsidR="007E6FD1" w:rsidRPr="00F32EE9">
        <w:rPr>
          <w:rFonts w:asciiTheme="minorHAnsi" w:hAnsiTheme="minorHAnsi" w:cs="Calibri"/>
          <w:i/>
          <w:iCs/>
          <w:sz w:val="20"/>
          <w:szCs w:val="20"/>
          <w:lang w:val="en-IN"/>
        </w:rPr>
        <w:t>PD</w:t>
      </w:r>
      <w:r w:rsidR="007E6FD1" w:rsidRPr="00F32EE9">
        <w:rPr>
          <w:rFonts w:asciiTheme="minorHAnsi" w:hAnsiTheme="minorHAnsi" w:cs="Calibri"/>
          <w:i/>
          <w:iCs/>
          <w:sz w:val="20"/>
          <w:szCs w:val="20"/>
          <w:vertAlign w:val="subscript"/>
          <w:lang w:val="en-IN"/>
        </w:rPr>
        <w:t>t</w:t>
      </w:r>
      <w:proofErr w:type="spellEnd"/>
      <w:r w:rsidR="007E6FD1" w:rsidRPr="00F32EE9">
        <w:rPr>
          <w:rFonts w:asciiTheme="minorHAnsi" w:hAnsiTheme="minorHAnsi" w:cs="Calibri"/>
          <w:i/>
          <w:iCs/>
          <w:sz w:val="20"/>
          <w:szCs w:val="20"/>
          <w:lang w:val="en-IN"/>
        </w:rPr>
        <w:t>)</w:t>
      </w:r>
    </w:p>
    <w:p w14:paraId="1E2C331C" w14:textId="0106D97A" w:rsidR="007E6FD1" w:rsidRPr="00F32EE9" w:rsidRDefault="00E673F3" w:rsidP="009E68B4">
      <w:pPr>
        <w:spacing w:after="0"/>
        <w:jc w:val="center"/>
        <w:rPr>
          <w:rFonts w:asciiTheme="minorHAnsi" w:hAnsiTheme="minorHAnsi" w:cs="Calibri"/>
          <w:i/>
          <w:iCs/>
          <w:sz w:val="20"/>
          <w:szCs w:val="20"/>
          <w:vertAlign w:val="subscript"/>
          <w:lang w:val="en-IN"/>
        </w:rPr>
      </w:pPr>
      <w:r w:rsidRPr="00F32EE9">
        <w:rPr>
          <w:rFonts w:asciiTheme="minorHAnsi" w:hAnsiTheme="minorHAnsi" w:cs="Calibri"/>
          <w:i/>
          <w:iCs/>
          <w:sz w:val="20"/>
          <w:szCs w:val="20"/>
          <w:lang w:val="en-IN"/>
        </w:rPr>
        <w:t xml:space="preserve">Marginal </w:t>
      </w:r>
      <w:proofErr w:type="spellStart"/>
      <w:r w:rsidRPr="00F32EE9">
        <w:rPr>
          <w:rFonts w:asciiTheme="minorHAnsi" w:hAnsiTheme="minorHAnsi" w:cs="Calibri"/>
          <w:i/>
          <w:iCs/>
          <w:sz w:val="20"/>
          <w:szCs w:val="20"/>
          <w:lang w:val="en-IN"/>
        </w:rPr>
        <w:t>PD</w:t>
      </w:r>
      <w:r w:rsidRPr="00F32EE9">
        <w:rPr>
          <w:rFonts w:asciiTheme="minorHAnsi" w:hAnsiTheme="minorHAnsi" w:cs="Calibri"/>
          <w:i/>
          <w:iCs/>
          <w:sz w:val="20"/>
          <w:szCs w:val="20"/>
          <w:vertAlign w:val="subscript"/>
          <w:lang w:val="en-IN"/>
        </w:rPr>
        <w:t>t</w:t>
      </w:r>
      <w:proofErr w:type="spellEnd"/>
      <w:r w:rsidRPr="00F32EE9">
        <w:rPr>
          <w:rFonts w:asciiTheme="minorHAnsi" w:hAnsiTheme="minorHAnsi" w:cs="Calibri"/>
          <w:i/>
          <w:iCs/>
          <w:sz w:val="20"/>
          <w:szCs w:val="20"/>
          <w:vertAlign w:val="subscript"/>
          <w:lang w:val="en-IN"/>
        </w:rPr>
        <w:t xml:space="preserve"> </w:t>
      </w:r>
      <w:r w:rsidR="009E68B4" w:rsidRPr="00F32EE9">
        <w:rPr>
          <w:rFonts w:asciiTheme="minorHAnsi" w:hAnsiTheme="minorHAnsi" w:cs="Calibri"/>
          <w:i/>
          <w:iCs/>
          <w:sz w:val="20"/>
          <w:szCs w:val="20"/>
          <w:lang w:val="en-IN"/>
        </w:rPr>
        <w:t xml:space="preserve">= Cumulative </w:t>
      </w:r>
      <w:proofErr w:type="spellStart"/>
      <w:r w:rsidR="009E68B4" w:rsidRPr="00F32EE9">
        <w:rPr>
          <w:rFonts w:asciiTheme="minorHAnsi" w:hAnsiTheme="minorHAnsi" w:cs="Calibri"/>
          <w:i/>
          <w:iCs/>
          <w:sz w:val="20"/>
          <w:szCs w:val="20"/>
          <w:lang w:val="en-IN"/>
        </w:rPr>
        <w:t>PD</w:t>
      </w:r>
      <w:r w:rsidR="009E68B4" w:rsidRPr="00F32EE9">
        <w:rPr>
          <w:rFonts w:asciiTheme="minorHAnsi" w:hAnsiTheme="minorHAnsi" w:cs="Calibri"/>
          <w:i/>
          <w:iCs/>
          <w:sz w:val="20"/>
          <w:szCs w:val="20"/>
          <w:vertAlign w:val="subscript"/>
          <w:lang w:val="en-IN"/>
        </w:rPr>
        <w:t>t</w:t>
      </w:r>
      <w:proofErr w:type="spellEnd"/>
      <w:r w:rsidR="009E68B4" w:rsidRPr="00F32EE9">
        <w:rPr>
          <w:rFonts w:asciiTheme="minorHAnsi" w:hAnsiTheme="minorHAnsi" w:cs="Calibri"/>
          <w:i/>
          <w:iCs/>
          <w:sz w:val="20"/>
          <w:szCs w:val="20"/>
          <w:vertAlign w:val="subscript"/>
          <w:lang w:val="en-IN"/>
        </w:rPr>
        <w:t xml:space="preserve"> </w:t>
      </w:r>
      <w:r w:rsidR="009E68B4" w:rsidRPr="00F32EE9">
        <w:rPr>
          <w:rFonts w:asciiTheme="minorHAnsi" w:hAnsiTheme="minorHAnsi" w:cs="Calibri"/>
          <w:i/>
          <w:iCs/>
          <w:sz w:val="20"/>
          <w:szCs w:val="20"/>
          <w:lang w:val="en-IN"/>
        </w:rPr>
        <w:t>- Cumulative PD</w:t>
      </w:r>
      <w:r w:rsidR="009E68B4" w:rsidRPr="00F32EE9">
        <w:rPr>
          <w:rFonts w:asciiTheme="minorHAnsi" w:hAnsiTheme="minorHAnsi" w:cs="Calibri"/>
          <w:i/>
          <w:iCs/>
          <w:sz w:val="20"/>
          <w:szCs w:val="20"/>
          <w:vertAlign w:val="subscript"/>
          <w:lang w:val="en-IN"/>
        </w:rPr>
        <w:t>t-1</w:t>
      </w:r>
    </w:p>
    <w:p w14:paraId="573E9C1C" w14:textId="77777777" w:rsidR="00A9775F" w:rsidRPr="00F32EE9" w:rsidRDefault="00A9775F" w:rsidP="00A9775F">
      <w:pPr>
        <w:pStyle w:val="ListParagraph"/>
        <w:spacing w:after="0"/>
        <w:ind w:left="360"/>
        <w:rPr>
          <w:rFonts w:asciiTheme="minorHAnsi" w:hAnsiTheme="minorHAnsi" w:cs="Calibri"/>
          <w:sz w:val="20"/>
          <w:szCs w:val="20"/>
          <w:lang w:val="en-IN"/>
        </w:rPr>
      </w:pPr>
    </w:p>
    <w:p w14:paraId="2B69E518" w14:textId="527E6D94" w:rsidR="003D0BBC" w:rsidRPr="00F32EE9" w:rsidRDefault="003D0BBC" w:rsidP="005A6AE3">
      <w:pPr>
        <w:pStyle w:val="ListParagraph"/>
        <w:numPr>
          <w:ilvl w:val="0"/>
          <w:numId w:val="10"/>
        </w:numPr>
        <w:spacing w:after="0"/>
        <w:rPr>
          <w:rFonts w:cs="Calibri"/>
          <w:lang w:val="en-IN"/>
        </w:rPr>
      </w:pPr>
      <w:r w:rsidRPr="00F32EE9">
        <w:rPr>
          <w:rFonts w:cs="Calibri"/>
          <w:lang w:val="en-IN"/>
        </w:rPr>
        <w:lastRenderedPageBreak/>
        <w:t>For the first year, the Cumulative PD, PIT PD, and Marginal PD are identical.</w:t>
      </w:r>
    </w:p>
    <w:p w14:paraId="50A4995D" w14:textId="7565EAFC" w:rsidR="00E05A26" w:rsidRPr="00F32EE9" w:rsidRDefault="003D0BBC" w:rsidP="005A6AE3">
      <w:pPr>
        <w:pStyle w:val="ListParagraph"/>
        <w:numPr>
          <w:ilvl w:val="0"/>
          <w:numId w:val="10"/>
        </w:numPr>
        <w:spacing w:after="0"/>
        <w:rPr>
          <w:rFonts w:cs="Calibri"/>
          <w:lang w:val="en-IN"/>
        </w:rPr>
      </w:pPr>
      <w:r w:rsidRPr="00F32EE9">
        <w:rPr>
          <w:rFonts w:cs="Calibri"/>
          <w:lang w:val="en-IN"/>
        </w:rPr>
        <w:t>Over time, Cumulative PDs can also be derived by summing up the marginal PDs.</w:t>
      </w:r>
    </w:p>
    <w:p w14:paraId="0CA2C2D8" w14:textId="5A59368A" w:rsidR="009C1FEC" w:rsidRPr="00F32EE9" w:rsidRDefault="009C1FEC" w:rsidP="005A6AE3">
      <w:pPr>
        <w:pStyle w:val="Heading2"/>
        <w:numPr>
          <w:ilvl w:val="0"/>
          <w:numId w:val="20"/>
        </w:numPr>
      </w:pPr>
      <w:bookmarkStart w:id="14" w:name="_Toc229059006"/>
      <w:r w:rsidRPr="00F32EE9">
        <w:t>L</w:t>
      </w:r>
      <w:r w:rsidR="003856E7" w:rsidRPr="00F32EE9">
        <w:t>oss Given Default</w:t>
      </w:r>
      <w:bookmarkEnd w:id="14"/>
      <w:r w:rsidR="003856E7" w:rsidRPr="00F32EE9">
        <w:t xml:space="preserve"> </w:t>
      </w:r>
    </w:p>
    <w:p w14:paraId="507D10C4" w14:textId="306F1F87" w:rsidR="00F75138" w:rsidRPr="00F32EE9" w:rsidRDefault="005A31BB" w:rsidP="005A31BB">
      <w:pPr>
        <w:jc w:val="both"/>
        <w:rPr>
          <w:rFonts w:cs="Calibri"/>
          <w:lang w:val="en-IN"/>
        </w:rPr>
      </w:pPr>
      <w:r w:rsidRPr="00F32EE9">
        <w:rPr>
          <w:rFonts w:cs="Calibri"/>
          <w:lang w:val="en-IN"/>
        </w:rPr>
        <w:t xml:space="preserve">Loss Given Default (LGD) represents the proportion of economic loss incurred when a borrower defaults, expressed as a percentage of Exposure at Default (EAD). </w:t>
      </w:r>
      <w:r w:rsidR="00366A91" w:rsidRPr="00F32EE9">
        <w:rPr>
          <w:rFonts w:cs="Calibri"/>
        </w:rPr>
        <w:t>In the absence of historical defaults at IRFC, the Loss Given Default (LGD) parameter has been set at 65%, in alignment with the regulatory floor prescribed under recent Reserve Bank of India guidelines for entities with insufficient loss history.</w:t>
      </w:r>
      <w:r w:rsidR="00037B72" w:rsidRPr="00F32EE9">
        <w:rPr>
          <w:rFonts w:cs="Calibri"/>
          <w:lang w:val="en-IN"/>
        </w:rPr>
        <w:t xml:space="preserve"> </w:t>
      </w:r>
    </w:p>
    <w:p w14:paraId="671E2664" w14:textId="0ADEA408" w:rsidR="00964CB6" w:rsidRPr="00F32EE9" w:rsidRDefault="003856E7" w:rsidP="005A6AE3">
      <w:pPr>
        <w:pStyle w:val="Heading2"/>
        <w:numPr>
          <w:ilvl w:val="0"/>
          <w:numId w:val="20"/>
        </w:numPr>
      </w:pPr>
      <w:bookmarkStart w:id="15" w:name="_Toc229059007"/>
      <w:r w:rsidRPr="00F32EE9">
        <w:t>Exposure at Default</w:t>
      </w:r>
      <w:bookmarkEnd w:id="15"/>
    </w:p>
    <w:p w14:paraId="423D96F7" w14:textId="3492FD58" w:rsidR="00727930" w:rsidRPr="00F32EE9" w:rsidRDefault="00727930" w:rsidP="00190AEF">
      <w:pPr>
        <w:jc w:val="both"/>
        <w:rPr>
          <w:rFonts w:cs="Calibri"/>
          <w:lang w:val="en-IN"/>
        </w:rPr>
      </w:pPr>
      <w:r w:rsidRPr="00F32EE9">
        <w:rPr>
          <w:rFonts w:cs="Calibri"/>
        </w:rPr>
        <w:t>Exposure at Default (EAD) represents the expected outstanding exposure of a borrower at the time of default. It includes the outstanding principal amount along with accrued but unpaid interest as of the reporting date. For Stage 3 assets, the EAD is considered as the gross principal outstanding at the date of default.</w:t>
      </w:r>
    </w:p>
    <w:p w14:paraId="215441EA" w14:textId="77777777" w:rsidR="00430F79" w:rsidRPr="00F32EE9" w:rsidRDefault="00430F79" w:rsidP="00190AEF">
      <w:pPr>
        <w:jc w:val="both"/>
        <w:rPr>
          <w:rFonts w:cs="Calibri"/>
          <w:lang w:val="en-IN"/>
        </w:rPr>
      </w:pPr>
      <w:r w:rsidRPr="00F32EE9">
        <w:rPr>
          <w:rFonts w:cs="Calibri"/>
          <w:lang w:val="en-IN"/>
        </w:rPr>
        <w:t>EAD estimation reflects:</w:t>
      </w:r>
    </w:p>
    <w:p w14:paraId="3871781D" w14:textId="77777777" w:rsidR="00430F79" w:rsidRPr="00F32EE9" w:rsidRDefault="00430F79" w:rsidP="005A6AE3">
      <w:pPr>
        <w:numPr>
          <w:ilvl w:val="0"/>
          <w:numId w:val="11"/>
        </w:numPr>
        <w:tabs>
          <w:tab w:val="clear" w:pos="360"/>
          <w:tab w:val="num" w:pos="720"/>
        </w:tabs>
        <w:ind w:left="357" w:hanging="357"/>
        <w:jc w:val="both"/>
        <w:rPr>
          <w:rFonts w:cs="Calibri"/>
          <w:lang w:val="en-IN"/>
        </w:rPr>
      </w:pPr>
      <w:r w:rsidRPr="00F32EE9">
        <w:rPr>
          <w:rFonts w:cs="Calibri"/>
          <w:lang w:val="en-IN"/>
        </w:rPr>
        <w:t>The repayment and amortization schedule of the facility.</w:t>
      </w:r>
    </w:p>
    <w:p w14:paraId="7419BCA9" w14:textId="77777777" w:rsidR="00430F79" w:rsidRPr="00F32EE9" w:rsidRDefault="00430F79" w:rsidP="005A6AE3">
      <w:pPr>
        <w:numPr>
          <w:ilvl w:val="0"/>
          <w:numId w:val="11"/>
        </w:numPr>
        <w:tabs>
          <w:tab w:val="clear" w:pos="360"/>
          <w:tab w:val="num" w:pos="720"/>
        </w:tabs>
        <w:ind w:left="357" w:hanging="357"/>
        <w:jc w:val="both"/>
        <w:rPr>
          <w:rFonts w:cs="Calibri"/>
          <w:lang w:val="en-IN"/>
        </w:rPr>
      </w:pPr>
      <w:r w:rsidRPr="00F32EE9">
        <w:rPr>
          <w:rFonts w:cs="Calibri"/>
          <w:lang w:val="en-IN"/>
        </w:rPr>
        <w:t>Changes in utilization of undrawn commitments within agreed credit limits in the period leading up to default.</w:t>
      </w:r>
    </w:p>
    <w:p w14:paraId="083409CF" w14:textId="3AC6C0F9" w:rsidR="00884739" w:rsidRPr="00F32EE9" w:rsidRDefault="00430F79" w:rsidP="005A6AE3">
      <w:pPr>
        <w:numPr>
          <w:ilvl w:val="0"/>
          <w:numId w:val="11"/>
        </w:numPr>
        <w:tabs>
          <w:tab w:val="clear" w:pos="360"/>
          <w:tab w:val="num" w:pos="720"/>
        </w:tabs>
        <w:ind w:left="357" w:hanging="357"/>
        <w:jc w:val="both"/>
        <w:rPr>
          <w:rFonts w:cs="Calibri"/>
          <w:lang w:val="en-IN"/>
        </w:rPr>
      </w:pPr>
      <w:r w:rsidRPr="00F32EE9">
        <w:rPr>
          <w:rFonts w:cs="Calibri"/>
          <w:lang w:val="en-IN"/>
        </w:rPr>
        <w:t>The impact of probable outcomes such as prepayments and credit conversion factors, which are adjusted to contractual cash flows in line with the probability of their execution.</w:t>
      </w:r>
    </w:p>
    <w:p w14:paraId="708EEF68" w14:textId="5F817C29" w:rsidR="002B46E5" w:rsidRPr="00F32EE9" w:rsidRDefault="00430F79" w:rsidP="00190AEF">
      <w:pPr>
        <w:jc w:val="both"/>
        <w:rPr>
          <w:rFonts w:cs="Calibri"/>
          <w:lang w:val="en-IN"/>
        </w:rPr>
      </w:pPr>
      <w:r w:rsidRPr="00F32EE9">
        <w:rPr>
          <w:rFonts w:cs="Calibri"/>
          <w:lang w:val="en-IN"/>
        </w:rPr>
        <w:t>In line with I</w:t>
      </w:r>
      <w:r w:rsidR="00D875B2" w:rsidRPr="00F32EE9">
        <w:rPr>
          <w:rFonts w:cs="Calibri"/>
          <w:lang w:val="en-IN"/>
        </w:rPr>
        <w:t>nd</w:t>
      </w:r>
      <w:r w:rsidR="00F6674E" w:rsidRPr="00F32EE9">
        <w:rPr>
          <w:rFonts w:cs="Calibri"/>
          <w:lang w:val="en-IN"/>
        </w:rPr>
        <w:t xml:space="preserve"> AS 10</w:t>
      </w:r>
      <w:r w:rsidRPr="00F32EE9">
        <w:rPr>
          <w:rFonts w:cs="Calibri"/>
          <w:lang w:val="en-IN"/>
        </w:rPr>
        <w:t xml:space="preserve">9 requirements, the ECL computation must incorporate both the amount and timing of expected payments, which underscores the importance of building a robust amortization schedule for each loan or commitment. </w:t>
      </w:r>
    </w:p>
    <w:p w14:paraId="32BBFD5F" w14:textId="3447799D" w:rsidR="00F66305" w:rsidRPr="00F66305" w:rsidRDefault="00F66305" w:rsidP="00F66305">
      <w:pPr>
        <w:rPr>
          <w:rFonts w:cs="Calibri"/>
          <w:lang w:val="en-IN"/>
        </w:rPr>
      </w:pPr>
      <w:r w:rsidRPr="00F66305">
        <w:rPr>
          <w:rFonts w:cs="Calibri"/>
          <w:lang w:val="en-IN"/>
        </w:rPr>
        <w:t>For exposures with undrawn components, such as revolving credit lines and term financing limits, an appropriate Credit Conversion Factor (CCF) is applied to the undrawn portion to estimate the likely drawdown at the point of default.</w:t>
      </w:r>
      <w:r w:rsidRPr="00F32EE9">
        <w:rPr>
          <w:rFonts w:cs="Calibri"/>
          <w:lang w:val="en-IN"/>
        </w:rPr>
        <w:t xml:space="preserve"> </w:t>
      </w:r>
      <w:r w:rsidRPr="00F66305">
        <w:rPr>
          <w:rFonts w:cs="Calibri"/>
          <w:lang w:val="en-IN"/>
        </w:rPr>
        <w:t>The EAD is therefore computed as:</w:t>
      </w:r>
    </w:p>
    <w:p w14:paraId="72E4C290" w14:textId="713E0C56" w:rsidR="004B7C1A" w:rsidRPr="00F32EE9" w:rsidRDefault="00190AEF" w:rsidP="00DD1DF5">
      <w:pPr>
        <w:jc w:val="center"/>
        <w:rPr>
          <w:rFonts w:cs="Calibri"/>
          <w:b/>
          <w:bCs/>
          <w:i/>
          <w:iCs/>
          <w:spacing w:val="-2"/>
        </w:rPr>
      </w:pPr>
      <w:r w:rsidRPr="00F32EE9">
        <w:rPr>
          <w:rFonts w:cs="Calibri"/>
          <w:b/>
          <w:bCs/>
          <w:i/>
          <w:iCs/>
        </w:rPr>
        <w:t>EAD</w:t>
      </w:r>
      <w:r w:rsidRPr="00F32EE9">
        <w:rPr>
          <w:rFonts w:cs="Calibri"/>
          <w:b/>
          <w:bCs/>
          <w:i/>
          <w:iCs/>
          <w:spacing w:val="-5"/>
        </w:rPr>
        <w:t xml:space="preserve"> </w:t>
      </w:r>
      <w:r w:rsidRPr="00F32EE9">
        <w:rPr>
          <w:rFonts w:cs="Calibri"/>
          <w:b/>
          <w:bCs/>
          <w:i/>
          <w:iCs/>
        </w:rPr>
        <w:t>=</w:t>
      </w:r>
      <w:r w:rsidRPr="00F32EE9">
        <w:rPr>
          <w:rFonts w:cs="Calibri"/>
          <w:b/>
          <w:bCs/>
          <w:i/>
          <w:iCs/>
          <w:spacing w:val="-4"/>
        </w:rPr>
        <w:t xml:space="preserve"> </w:t>
      </w:r>
      <w:r w:rsidRPr="00F32EE9">
        <w:rPr>
          <w:rFonts w:cs="Calibri"/>
          <w:b/>
          <w:bCs/>
          <w:i/>
          <w:iCs/>
        </w:rPr>
        <w:t>Outstanding</w:t>
      </w:r>
      <w:r w:rsidRPr="00F32EE9">
        <w:rPr>
          <w:rFonts w:cs="Calibri"/>
          <w:b/>
          <w:bCs/>
          <w:i/>
          <w:iCs/>
          <w:spacing w:val="-4"/>
        </w:rPr>
        <w:t xml:space="preserve"> </w:t>
      </w:r>
      <w:r w:rsidRPr="00F32EE9">
        <w:rPr>
          <w:rFonts w:cs="Calibri"/>
          <w:b/>
          <w:bCs/>
          <w:i/>
          <w:iCs/>
        </w:rPr>
        <w:t>+</w:t>
      </w:r>
      <w:r w:rsidRPr="00F32EE9">
        <w:rPr>
          <w:rFonts w:cs="Calibri"/>
          <w:b/>
          <w:bCs/>
          <w:i/>
          <w:iCs/>
          <w:spacing w:val="-4"/>
        </w:rPr>
        <w:t xml:space="preserve"> </w:t>
      </w:r>
      <w:r w:rsidR="00D4500E" w:rsidRPr="00F32EE9">
        <w:rPr>
          <w:rFonts w:cs="Calibri"/>
          <w:b/>
          <w:bCs/>
          <w:i/>
          <w:iCs/>
          <w:spacing w:val="-4"/>
        </w:rPr>
        <w:t>(</w:t>
      </w:r>
      <w:r w:rsidRPr="00F32EE9">
        <w:rPr>
          <w:rFonts w:cs="Calibri"/>
          <w:b/>
          <w:bCs/>
          <w:i/>
          <w:iCs/>
          <w:spacing w:val="-2"/>
        </w:rPr>
        <w:t>Undrawn*CCF</w:t>
      </w:r>
      <w:r w:rsidR="00D4500E" w:rsidRPr="00F32EE9">
        <w:rPr>
          <w:rFonts w:cs="Calibri"/>
          <w:b/>
          <w:bCs/>
          <w:i/>
          <w:iCs/>
          <w:spacing w:val="-2"/>
        </w:rPr>
        <w:t xml:space="preserve">) + Accrued Interest </w:t>
      </w:r>
    </w:p>
    <w:p w14:paraId="41170E02" w14:textId="3DFA5041" w:rsidR="00CA78D8" w:rsidRPr="00F32EE9" w:rsidRDefault="00F32EE9" w:rsidP="00CA78D8">
      <w:pPr>
        <w:rPr>
          <w:rFonts w:cs="Calibri"/>
          <w:b/>
          <w:bCs/>
          <w:i/>
          <w:iCs/>
          <w:spacing w:val="-2"/>
        </w:rPr>
      </w:pPr>
      <w:proofErr w:type="gramStart"/>
      <w:r w:rsidRPr="00F32EE9">
        <w:rPr>
          <w:rFonts w:cs="Calibri"/>
          <w:b/>
          <w:bCs/>
          <w:i/>
          <w:iCs/>
          <w:spacing w:val="-2"/>
        </w:rPr>
        <w:t>Where</w:t>
      </w:r>
      <w:proofErr w:type="gramEnd"/>
      <w:r w:rsidRPr="00F32EE9">
        <w:rPr>
          <w:rFonts w:cs="Calibri"/>
          <w:b/>
          <w:bCs/>
          <w:i/>
          <w:iCs/>
          <w:spacing w:val="-2"/>
        </w:rPr>
        <w:t>,</w:t>
      </w:r>
    </w:p>
    <w:p w14:paraId="1393DEA9" w14:textId="77777777" w:rsidR="00512719" w:rsidRPr="00F32EE9" w:rsidRDefault="00512719" w:rsidP="005A6AE3">
      <w:pPr>
        <w:pStyle w:val="ListParagraph"/>
        <w:numPr>
          <w:ilvl w:val="0"/>
          <w:numId w:val="28"/>
        </w:numPr>
        <w:rPr>
          <w:rFonts w:cs="Calibri"/>
          <w:spacing w:val="-2"/>
          <w:lang w:val="en-IN"/>
        </w:rPr>
      </w:pPr>
      <w:r w:rsidRPr="00F32EE9">
        <w:rPr>
          <w:rFonts w:cs="Calibri"/>
          <w:spacing w:val="-2"/>
        </w:rPr>
        <w:t>Outstanding is the current drawn balance of the facility.</w:t>
      </w:r>
    </w:p>
    <w:p w14:paraId="65754815" w14:textId="5F5B3B9F" w:rsidR="00512719" w:rsidRPr="00F32EE9" w:rsidRDefault="00512719" w:rsidP="005A6AE3">
      <w:pPr>
        <w:pStyle w:val="ListParagraph"/>
        <w:numPr>
          <w:ilvl w:val="0"/>
          <w:numId w:val="28"/>
        </w:numPr>
        <w:rPr>
          <w:rFonts w:cs="Calibri"/>
          <w:spacing w:val="-2"/>
          <w:lang w:val="en-IN"/>
        </w:rPr>
      </w:pPr>
      <w:r w:rsidRPr="00F32EE9">
        <w:rPr>
          <w:rFonts w:cs="Calibri"/>
          <w:spacing w:val="-2"/>
        </w:rPr>
        <w:t>Undrawn is the unutilized committed credit limit.</w:t>
      </w:r>
    </w:p>
    <w:p w14:paraId="2B0F66AF" w14:textId="08E3077E" w:rsidR="00512719" w:rsidRPr="00F32EE9" w:rsidRDefault="00512719" w:rsidP="005A6AE3">
      <w:pPr>
        <w:pStyle w:val="ListParagraph"/>
        <w:numPr>
          <w:ilvl w:val="0"/>
          <w:numId w:val="28"/>
        </w:numPr>
        <w:rPr>
          <w:rFonts w:cs="Calibri"/>
          <w:spacing w:val="-2"/>
          <w:lang w:val="en-IN"/>
        </w:rPr>
      </w:pPr>
      <w:r w:rsidRPr="00F32EE9">
        <w:rPr>
          <w:rFonts w:cs="Calibri"/>
          <w:spacing w:val="-2"/>
        </w:rPr>
        <w:t>CCF is the percentage of undrawn amount expected to be utilized before default.</w:t>
      </w:r>
    </w:p>
    <w:p w14:paraId="595BEF64" w14:textId="4A0B357A" w:rsidR="00512719" w:rsidRPr="00F32EE9" w:rsidRDefault="00512719" w:rsidP="005A6AE3">
      <w:pPr>
        <w:pStyle w:val="ListParagraph"/>
        <w:numPr>
          <w:ilvl w:val="0"/>
          <w:numId w:val="28"/>
        </w:numPr>
        <w:rPr>
          <w:rFonts w:cs="Calibri"/>
          <w:spacing w:val="-2"/>
          <w:lang w:val="en-IN"/>
        </w:rPr>
      </w:pPr>
      <w:r w:rsidRPr="00F32EE9">
        <w:rPr>
          <w:rFonts w:cs="Calibri"/>
          <w:spacing w:val="-2"/>
        </w:rPr>
        <w:t>Accrued Interest is the interest earned but not yet received.</w:t>
      </w:r>
    </w:p>
    <w:p w14:paraId="30E3F6BD" w14:textId="46757AA3" w:rsidR="00AD5A80" w:rsidRPr="00AD5A80" w:rsidRDefault="00CA78D8" w:rsidP="00AD5A80">
      <w:pPr>
        <w:rPr>
          <w:rFonts w:cs="Calibri"/>
          <w:b/>
          <w:bCs/>
          <w:spacing w:val="-2"/>
          <w:lang w:val="en-IN"/>
        </w:rPr>
      </w:pPr>
      <w:r w:rsidRPr="00CA78D8">
        <w:rPr>
          <w:rFonts w:cs="Calibri"/>
          <w:b/>
          <w:bCs/>
          <w:spacing w:val="-2"/>
          <w:lang w:val="en-IN"/>
        </w:rPr>
        <w:t>Credit Conversion Factor (CCF)</w:t>
      </w:r>
      <w:r w:rsidR="00AD5A80" w:rsidRPr="00AD5A80">
        <w:rPr>
          <w:rFonts w:cs="Calibri"/>
          <w:b/>
          <w:bCs/>
          <w:spacing w:val="-2"/>
          <w:lang w:val="en-IN"/>
        </w:rPr>
        <w:t xml:space="preserve"> Rates:</w:t>
      </w:r>
    </w:p>
    <w:p w14:paraId="347D758F" w14:textId="77777777" w:rsidR="00AD5A80" w:rsidRPr="00AD5A80" w:rsidRDefault="00AD5A80" w:rsidP="005A6AE3">
      <w:pPr>
        <w:numPr>
          <w:ilvl w:val="0"/>
          <w:numId w:val="29"/>
        </w:numPr>
        <w:rPr>
          <w:rFonts w:cs="Calibri"/>
          <w:spacing w:val="-2"/>
          <w:lang w:val="en-IN"/>
        </w:rPr>
      </w:pPr>
      <w:r w:rsidRPr="00AD5A80">
        <w:rPr>
          <w:rFonts w:cs="Calibri"/>
          <w:spacing w:val="-2"/>
          <w:lang w:val="en-IN"/>
        </w:rPr>
        <w:t xml:space="preserve">Residual maturity ≤ 1 year: </w:t>
      </w:r>
      <w:r w:rsidRPr="00AD5A80">
        <w:rPr>
          <w:rFonts w:cs="Calibri"/>
          <w:b/>
          <w:bCs/>
          <w:spacing w:val="-2"/>
          <w:lang w:val="en-IN"/>
        </w:rPr>
        <w:t>20%</w:t>
      </w:r>
      <w:r w:rsidRPr="00AD5A80">
        <w:rPr>
          <w:rFonts w:cs="Calibri"/>
          <w:spacing w:val="-2"/>
          <w:lang w:val="en-IN"/>
        </w:rPr>
        <w:t xml:space="preserve"> </w:t>
      </w:r>
    </w:p>
    <w:p w14:paraId="4C13B651" w14:textId="77777777" w:rsidR="00AD5A80" w:rsidRPr="00AD5A80" w:rsidRDefault="00AD5A80" w:rsidP="005A6AE3">
      <w:pPr>
        <w:numPr>
          <w:ilvl w:val="0"/>
          <w:numId w:val="29"/>
        </w:numPr>
        <w:rPr>
          <w:rFonts w:cs="Calibri"/>
          <w:spacing w:val="-2"/>
          <w:lang w:val="en-IN"/>
        </w:rPr>
      </w:pPr>
      <w:r w:rsidRPr="00AD5A80">
        <w:rPr>
          <w:rFonts w:cs="Calibri"/>
          <w:spacing w:val="-2"/>
          <w:lang w:val="en-IN"/>
        </w:rPr>
        <w:t xml:space="preserve">Residual maturity &gt; 1 year: </w:t>
      </w:r>
      <w:r w:rsidRPr="00AD5A80">
        <w:rPr>
          <w:rFonts w:cs="Calibri"/>
          <w:b/>
          <w:bCs/>
          <w:spacing w:val="-2"/>
          <w:lang w:val="en-IN"/>
        </w:rPr>
        <w:t>50%</w:t>
      </w:r>
      <w:r w:rsidRPr="00AD5A80">
        <w:rPr>
          <w:rFonts w:cs="Calibri"/>
          <w:spacing w:val="-2"/>
          <w:lang w:val="en-IN"/>
        </w:rPr>
        <w:t xml:space="preserve"> </w:t>
      </w:r>
    </w:p>
    <w:p w14:paraId="2B462EEF" w14:textId="77777777" w:rsidR="00AD5A80" w:rsidRPr="00AD5A80" w:rsidRDefault="00AD5A80" w:rsidP="005A6AE3">
      <w:pPr>
        <w:numPr>
          <w:ilvl w:val="0"/>
          <w:numId w:val="29"/>
        </w:numPr>
        <w:rPr>
          <w:rFonts w:cs="Calibri"/>
          <w:spacing w:val="-2"/>
          <w:lang w:val="en-IN"/>
        </w:rPr>
      </w:pPr>
      <w:r w:rsidRPr="00AD5A80">
        <w:rPr>
          <w:rFonts w:cs="Calibri"/>
          <w:spacing w:val="-2"/>
          <w:lang w:val="en-IN"/>
        </w:rPr>
        <w:t xml:space="preserve">Fully drawn facilities: </w:t>
      </w:r>
      <w:r w:rsidRPr="00AD5A80">
        <w:rPr>
          <w:rFonts w:cs="Calibri"/>
          <w:b/>
          <w:bCs/>
          <w:spacing w:val="-2"/>
          <w:lang w:val="en-IN"/>
        </w:rPr>
        <w:t>0%</w:t>
      </w:r>
    </w:p>
    <w:p w14:paraId="39C1F85A" w14:textId="77777777" w:rsidR="00CA78D8" w:rsidRPr="00F32EE9" w:rsidRDefault="00CA78D8" w:rsidP="00DD1DF5">
      <w:pPr>
        <w:jc w:val="center"/>
        <w:rPr>
          <w:rFonts w:cs="Calibri"/>
          <w:b/>
          <w:bCs/>
          <w:i/>
          <w:iCs/>
          <w:spacing w:val="-2"/>
        </w:rPr>
      </w:pPr>
    </w:p>
    <w:p w14:paraId="4C38398A" w14:textId="4B0D1F05" w:rsidR="004B7C1A" w:rsidRPr="00F32EE9" w:rsidRDefault="00995502" w:rsidP="005A6AE3">
      <w:pPr>
        <w:pStyle w:val="Heading1"/>
        <w:numPr>
          <w:ilvl w:val="0"/>
          <w:numId w:val="19"/>
        </w:numPr>
      </w:pPr>
      <w:bookmarkStart w:id="16" w:name="_Toc229059008"/>
      <w:r w:rsidRPr="00F32EE9">
        <w:lastRenderedPageBreak/>
        <w:t xml:space="preserve">ECL </w:t>
      </w:r>
      <w:r w:rsidR="0008397C" w:rsidRPr="00F32EE9">
        <w:t>Computation Methodology</w:t>
      </w:r>
      <w:bookmarkEnd w:id="16"/>
    </w:p>
    <w:p w14:paraId="225A7D51" w14:textId="77777777" w:rsidR="0098266C" w:rsidRPr="00F32EE9" w:rsidRDefault="0098266C" w:rsidP="005A6AE3">
      <w:pPr>
        <w:pStyle w:val="Heading2"/>
        <w:numPr>
          <w:ilvl w:val="0"/>
          <w:numId w:val="17"/>
        </w:numPr>
        <w:tabs>
          <w:tab w:val="left" w:pos="450"/>
          <w:tab w:val="left" w:pos="540"/>
        </w:tabs>
        <w:ind w:hanging="720"/>
      </w:pPr>
      <w:bookmarkStart w:id="17" w:name="_Toc229059009"/>
      <w:r w:rsidRPr="00F32EE9">
        <w:t>Probability-weighted Outcome</w:t>
      </w:r>
      <w:bookmarkEnd w:id="17"/>
    </w:p>
    <w:p w14:paraId="04866332" w14:textId="77777777" w:rsidR="0098266C" w:rsidRPr="00F32EE9" w:rsidRDefault="0098266C" w:rsidP="0098266C">
      <w:pPr>
        <w:jc w:val="both"/>
        <w:rPr>
          <w:rFonts w:cs="Calibri"/>
          <w:lang w:val="en-IN"/>
        </w:rPr>
      </w:pPr>
      <w:r w:rsidRPr="00F32EE9">
        <w:rPr>
          <w:rFonts w:cs="Calibri"/>
          <w:lang w:val="en-IN"/>
        </w:rPr>
        <w:t>The determination of Expected Credit Loss (ECL) must reflect an unbiased, probability-weighted estimate that incorporates a range of potential outcomes, the time value of money, and reasonable and supportable information available at the reporting date. Such information should cover past performance, prevailing conditions, and forward-looking expectations, and must be obtained without incurring undue cost or effort.</w:t>
      </w:r>
    </w:p>
    <w:p w14:paraId="145016C0" w14:textId="4F91E6D5" w:rsidR="0098266C" w:rsidRPr="00F32EE9" w:rsidRDefault="0098266C" w:rsidP="0098266C">
      <w:pPr>
        <w:jc w:val="both"/>
        <w:rPr>
          <w:rFonts w:cs="Calibri"/>
          <w:lang w:val="en-IN"/>
        </w:rPr>
      </w:pPr>
      <w:r w:rsidRPr="00F32EE9">
        <w:rPr>
          <w:rFonts w:cs="Calibri"/>
          <w:lang w:val="en-IN"/>
        </w:rPr>
        <w:t>Since ECL requires the use of probability-weighted forward-looking scenarios, Macroeconomic Variables (MEVs) are used as inputs to project future conditions. To capture non-linearity in portfolio performance across a wide spectrum of economic conditions, the Company applies a multi-scenario framework, with each scenario assigned an appropriate probability. The three scenarios considered are described below:</w:t>
      </w:r>
    </w:p>
    <w:p w14:paraId="5F85829D" w14:textId="77777777" w:rsidR="0098266C" w:rsidRPr="00F32EE9" w:rsidRDefault="0098266C" w:rsidP="005A6AE3">
      <w:pPr>
        <w:numPr>
          <w:ilvl w:val="0"/>
          <w:numId w:val="13"/>
        </w:numPr>
        <w:tabs>
          <w:tab w:val="clear" w:pos="360"/>
          <w:tab w:val="num" w:pos="720"/>
        </w:tabs>
        <w:jc w:val="both"/>
        <w:rPr>
          <w:rFonts w:cs="Calibri"/>
          <w:lang w:val="en-IN"/>
        </w:rPr>
      </w:pPr>
      <w:r w:rsidRPr="00F32EE9">
        <w:rPr>
          <w:rFonts w:cs="Calibri"/>
          <w:b/>
          <w:bCs/>
          <w:lang w:val="en-IN"/>
        </w:rPr>
        <w:t>Base Case Scenario</w:t>
      </w:r>
      <w:r w:rsidRPr="00F32EE9">
        <w:rPr>
          <w:rFonts w:cs="Calibri"/>
          <w:lang w:val="en-IN"/>
        </w:rPr>
        <w:t xml:space="preserve"> – Represents the central forecast, aligned with external macroeconomic projections, carrying the highest probability weight.</w:t>
      </w:r>
    </w:p>
    <w:p w14:paraId="1FF0AA16" w14:textId="77777777" w:rsidR="0098266C" w:rsidRPr="00F32EE9" w:rsidRDefault="0098266C" w:rsidP="005A6AE3">
      <w:pPr>
        <w:numPr>
          <w:ilvl w:val="0"/>
          <w:numId w:val="13"/>
        </w:numPr>
        <w:tabs>
          <w:tab w:val="clear" w:pos="360"/>
          <w:tab w:val="num" w:pos="720"/>
        </w:tabs>
        <w:jc w:val="both"/>
        <w:rPr>
          <w:rFonts w:cs="Calibri"/>
          <w:lang w:val="en-IN"/>
        </w:rPr>
      </w:pPr>
      <w:r w:rsidRPr="00F32EE9">
        <w:rPr>
          <w:rFonts w:cs="Calibri"/>
          <w:b/>
          <w:bCs/>
          <w:lang w:val="en-IN"/>
        </w:rPr>
        <w:t>Improved Case Scenario</w:t>
      </w:r>
      <w:r w:rsidRPr="00F32EE9">
        <w:rPr>
          <w:rFonts w:cs="Calibri"/>
          <w:lang w:val="en-IN"/>
        </w:rPr>
        <w:t xml:space="preserve"> – Reflects an optimistic adjustment to the base case, incorporating expert judgment on favourable developments.</w:t>
      </w:r>
    </w:p>
    <w:p w14:paraId="7BF05DE0" w14:textId="6A3869DA" w:rsidR="0098266C" w:rsidRPr="00F32EE9" w:rsidRDefault="0098266C" w:rsidP="005A6AE3">
      <w:pPr>
        <w:pStyle w:val="ListParagraph"/>
        <w:numPr>
          <w:ilvl w:val="0"/>
          <w:numId w:val="13"/>
        </w:numPr>
        <w:rPr>
          <w:rFonts w:cs="Calibri"/>
          <w:lang w:val="en-IN"/>
        </w:rPr>
      </w:pPr>
      <w:r w:rsidRPr="00F32EE9">
        <w:rPr>
          <w:rFonts w:cs="Calibri"/>
          <w:b/>
          <w:bCs/>
          <w:lang w:val="en-IN"/>
        </w:rPr>
        <w:t>Stressed Case Scenario</w:t>
      </w:r>
      <w:r w:rsidRPr="00F32EE9">
        <w:rPr>
          <w:rFonts w:cs="Calibri"/>
          <w:lang w:val="en-IN"/>
        </w:rPr>
        <w:t xml:space="preserve"> – Represents an adverse adjustment to the base case, incorporating downside risks through expert judgment.</w:t>
      </w:r>
    </w:p>
    <w:tbl>
      <w:tblPr>
        <w:tblW w:w="0" w:type="auto"/>
        <w:tblInd w:w="3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6"/>
        <w:gridCol w:w="1412"/>
      </w:tblGrid>
      <w:tr w:rsidR="0098266C" w:rsidRPr="00F32EE9" w14:paraId="7D0D2BA2" w14:textId="77777777" w:rsidTr="007E5EE8">
        <w:trPr>
          <w:trHeight w:val="292"/>
        </w:trPr>
        <w:tc>
          <w:tcPr>
            <w:tcW w:w="2126" w:type="dxa"/>
            <w:shd w:val="clear" w:color="auto" w:fill="006FC0"/>
            <w:vAlign w:val="center"/>
          </w:tcPr>
          <w:p w14:paraId="38C2A0F6" w14:textId="77777777" w:rsidR="0098266C" w:rsidRPr="00F32EE9" w:rsidRDefault="0098266C" w:rsidP="007E5EE8">
            <w:pPr>
              <w:pStyle w:val="TableParagraph"/>
              <w:spacing w:before="49"/>
              <w:ind w:left="10"/>
              <w:jc w:val="center"/>
              <w:rPr>
                <w:b/>
                <w:color w:val="FFFFFF" w:themeColor="background1"/>
              </w:rPr>
            </w:pPr>
            <w:r w:rsidRPr="00F32EE9">
              <w:rPr>
                <w:b/>
                <w:color w:val="FFFFFF" w:themeColor="background1"/>
              </w:rPr>
              <w:t>Scenario</w:t>
            </w:r>
          </w:p>
        </w:tc>
        <w:tc>
          <w:tcPr>
            <w:tcW w:w="1412" w:type="dxa"/>
            <w:shd w:val="clear" w:color="auto" w:fill="006FC0"/>
            <w:vAlign w:val="center"/>
          </w:tcPr>
          <w:p w14:paraId="1DA5CF44" w14:textId="77777777" w:rsidR="0098266C" w:rsidRPr="00F32EE9" w:rsidRDefault="0098266C" w:rsidP="007E5EE8">
            <w:pPr>
              <w:pStyle w:val="TableParagraph"/>
              <w:spacing w:before="11"/>
              <w:ind w:left="20"/>
              <w:jc w:val="center"/>
              <w:rPr>
                <w:b/>
                <w:color w:val="FFFFFF" w:themeColor="background1"/>
              </w:rPr>
            </w:pPr>
            <w:r w:rsidRPr="00F32EE9">
              <w:rPr>
                <w:b/>
                <w:color w:val="FFFFFF" w:themeColor="background1"/>
              </w:rPr>
              <w:t>Weights</w:t>
            </w:r>
          </w:p>
        </w:tc>
      </w:tr>
      <w:tr w:rsidR="0098266C" w:rsidRPr="00F32EE9" w14:paraId="48D906CD" w14:textId="77777777" w:rsidTr="007E5EE8">
        <w:trPr>
          <w:trHeight w:val="278"/>
        </w:trPr>
        <w:tc>
          <w:tcPr>
            <w:tcW w:w="2126" w:type="dxa"/>
          </w:tcPr>
          <w:p w14:paraId="7D4FCE13" w14:textId="77777777" w:rsidR="0098266C" w:rsidRPr="00F32EE9" w:rsidRDefault="0098266C" w:rsidP="007E5EE8">
            <w:pPr>
              <w:pStyle w:val="TableParagraph"/>
              <w:spacing w:before="39"/>
              <w:ind w:left="13"/>
              <w:jc w:val="center"/>
              <w:rPr>
                <w:b/>
              </w:rPr>
            </w:pPr>
            <w:r w:rsidRPr="00F32EE9">
              <w:rPr>
                <w:b/>
              </w:rPr>
              <w:t>Base</w:t>
            </w:r>
          </w:p>
        </w:tc>
        <w:tc>
          <w:tcPr>
            <w:tcW w:w="1412" w:type="dxa"/>
          </w:tcPr>
          <w:p w14:paraId="79A1A237" w14:textId="423FE8D9" w:rsidR="0098266C" w:rsidRPr="00F32EE9" w:rsidRDefault="00BF0412" w:rsidP="007E5EE8">
            <w:pPr>
              <w:pStyle w:val="TableParagraph"/>
              <w:spacing w:before="39"/>
              <w:ind w:left="13"/>
              <w:jc w:val="center"/>
              <w:rPr>
                <w:bCs/>
              </w:rPr>
            </w:pPr>
            <w:r w:rsidRPr="00F32EE9">
              <w:rPr>
                <w:bCs/>
              </w:rPr>
              <w:t>50</w:t>
            </w:r>
            <w:r w:rsidR="0098266C" w:rsidRPr="00F32EE9">
              <w:rPr>
                <w:bCs/>
              </w:rPr>
              <w:t>%</w:t>
            </w:r>
          </w:p>
        </w:tc>
      </w:tr>
      <w:tr w:rsidR="0098266C" w:rsidRPr="00F32EE9" w14:paraId="712A275D" w14:textId="77777777" w:rsidTr="007E5EE8">
        <w:trPr>
          <w:trHeight w:val="271"/>
        </w:trPr>
        <w:tc>
          <w:tcPr>
            <w:tcW w:w="2126" w:type="dxa"/>
          </w:tcPr>
          <w:p w14:paraId="48E6B2D3" w14:textId="77777777" w:rsidR="0098266C" w:rsidRPr="00F32EE9" w:rsidRDefault="0098266C" w:rsidP="007E5EE8">
            <w:pPr>
              <w:pStyle w:val="TableParagraph"/>
              <w:spacing w:before="37"/>
              <w:ind w:left="13" w:right="3"/>
              <w:jc w:val="center"/>
              <w:rPr>
                <w:b/>
              </w:rPr>
            </w:pPr>
            <w:r w:rsidRPr="00F32EE9">
              <w:rPr>
                <w:b/>
              </w:rPr>
              <w:t>Upturn</w:t>
            </w:r>
          </w:p>
        </w:tc>
        <w:tc>
          <w:tcPr>
            <w:tcW w:w="1412" w:type="dxa"/>
          </w:tcPr>
          <w:p w14:paraId="55672603" w14:textId="28D4A2C7" w:rsidR="0098266C" w:rsidRPr="00F32EE9" w:rsidRDefault="00F6674E" w:rsidP="007E5EE8">
            <w:pPr>
              <w:pStyle w:val="TableParagraph"/>
              <w:spacing w:before="39"/>
              <w:ind w:left="13"/>
              <w:jc w:val="center"/>
            </w:pPr>
            <w:r w:rsidRPr="00F32EE9">
              <w:rPr>
                <w:bCs/>
              </w:rPr>
              <w:t>5</w:t>
            </w:r>
            <w:r w:rsidR="0098266C" w:rsidRPr="00F32EE9">
              <w:rPr>
                <w:bCs/>
              </w:rPr>
              <w:t>%</w:t>
            </w:r>
          </w:p>
        </w:tc>
      </w:tr>
      <w:tr w:rsidR="0098266C" w:rsidRPr="00F32EE9" w14:paraId="6EAFB3FB" w14:textId="77777777" w:rsidTr="007E5EE8">
        <w:trPr>
          <w:trHeight w:val="270"/>
        </w:trPr>
        <w:tc>
          <w:tcPr>
            <w:tcW w:w="2126" w:type="dxa"/>
          </w:tcPr>
          <w:p w14:paraId="793518A9" w14:textId="77777777" w:rsidR="0098266C" w:rsidRPr="00F32EE9" w:rsidRDefault="0098266C" w:rsidP="007E5EE8">
            <w:pPr>
              <w:pStyle w:val="TableParagraph"/>
              <w:spacing w:before="33"/>
              <w:ind w:left="13" w:right="2"/>
              <w:jc w:val="center"/>
              <w:rPr>
                <w:b/>
              </w:rPr>
            </w:pPr>
            <w:r w:rsidRPr="00F32EE9">
              <w:rPr>
                <w:b/>
              </w:rPr>
              <w:t>Downturn</w:t>
            </w:r>
          </w:p>
        </w:tc>
        <w:tc>
          <w:tcPr>
            <w:tcW w:w="1412" w:type="dxa"/>
          </w:tcPr>
          <w:p w14:paraId="05001198" w14:textId="77D3E16E" w:rsidR="0098266C" w:rsidRPr="00F32EE9" w:rsidRDefault="00BF0412" w:rsidP="007E5EE8">
            <w:pPr>
              <w:pStyle w:val="TableParagraph"/>
              <w:spacing w:before="39"/>
              <w:ind w:left="13"/>
              <w:jc w:val="center"/>
            </w:pPr>
            <w:r w:rsidRPr="00F32EE9">
              <w:rPr>
                <w:bCs/>
              </w:rPr>
              <w:t>45</w:t>
            </w:r>
            <w:r w:rsidR="0098266C" w:rsidRPr="00F32EE9">
              <w:rPr>
                <w:bCs/>
              </w:rPr>
              <w:t>%</w:t>
            </w:r>
          </w:p>
        </w:tc>
      </w:tr>
    </w:tbl>
    <w:p w14:paraId="40A9F937" w14:textId="77777777" w:rsidR="003C3223" w:rsidRPr="00F32EE9" w:rsidRDefault="003C3223" w:rsidP="004B7C1A"/>
    <w:p w14:paraId="7CB0A6BF" w14:textId="21226C85" w:rsidR="001661F3" w:rsidRPr="00F32EE9" w:rsidRDefault="001661F3" w:rsidP="004B7C1A">
      <w:r w:rsidRPr="00F32EE9">
        <w:t>The scenario weights are designed to place greater emphasis on the base (current) economic conditions while retaining sufficient representation of upside and downside scenarios to capture cyclical uncertainty and downside risk.</w:t>
      </w:r>
    </w:p>
    <w:p w14:paraId="14B8E800" w14:textId="16C0C776" w:rsidR="004B7C1A" w:rsidRPr="00F32EE9" w:rsidRDefault="001661F3" w:rsidP="004B7C1A">
      <w:r w:rsidRPr="00F32EE9">
        <w:t>The probability of occurrence of each scenario is subject to periodic review to ensure that these are in line with economic conditions.</w:t>
      </w:r>
    </w:p>
    <w:p w14:paraId="1AAA0C9A" w14:textId="57B6F29F" w:rsidR="009B2371" w:rsidRPr="00F32EE9" w:rsidRDefault="006736BA" w:rsidP="005A6AE3">
      <w:pPr>
        <w:pStyle w:val="Heading2"/>
        <w:numPr>
          <w:ilvl w:val="0"/>
          <w:numId w:val="17"/>
        </w:numPr>
        <w:ind w:left="450" w:hanging="450"/>
      </w:pPr>
      <w:bookmarkStart w:id="18" w:name="_Toc229059010"/>
      <w:r w:rsidRPr="00F32EE9">
        <w:t>ECL Component</w:t>
      </w:r>
      <w:bookmarkEnd w:id="18"/>
    </w:p>
    <w:p w14:paraId="652731AD" w14:textId="54C16CE2" w:rsidR="004E4CE3" w:rsidRPr="00F32EE9" w:rsidRDefault="004E4CE3" w:rsidP="00A34489">
      <w:pPr>
        <w:jc w:val="both"/>
        <w:rPr>
          <w:rFonts w:cs="Calibri"/>
          <w:lang w:val="en-IN"/>
        </w:rPr>
      </w:pPr>
      <w:r w:rsidRPr="00F32EE9">
        <w:rPr>
          <w:rFonts w:cs="Calibri"/>
          <w:lang w:val="en-IN"/>
        </w:rPr>
        <w:t>Under I</w:t>
      </w:r>
      <w:r w:rsidR="00D875B2" w:rsidRPr="00F32EE9">
        <w:rPr>
          <w:rFonts w:cs="Calibri"/>
          <w:lang w:val="en-IN"/>
        </w:rPr>
        <w:t>nd</w:t>
      </w:r>
      <w:r w:rsidR="00F6674E" w:rsidRPr="00F32EE9">
        <w:rPr>
          <w:rFonts w:cs="Calibri"/>
          <w:lang w:val="en-IN"/>
        </w:rPr>
        <w:t xml:space="preserve"> AS</w:t>
      </w:r>
      <w:r w:rsidRPr="00F32EE9">
        <w:rPr>
          <w:rFonts w:cs="Calibri"/>
          <w:lang w:val="en-IN"/>
        </w:rPr>
        <w:t xml:space="preserve"> </w:t>
      </w:r>
      <w:r w:rsidR="00F6674E" w:rsidRPr="00F32EE9">
        <w:rPr>
          <w:rFonts w:cs="Calibri"/>
          <w:lang w:val="en-IN"/>
        </w:rPr>
        <w:t>10</w:t>
      </w:r>
      <w:r w:rsidRPr="00F32EE9">
        <w:rPr>
          <w:rFonts w:cs="Calibri"/>
          <w:lang w:val="en-IN"/>
        </w:rPr>
        <w:t>9, Expected Credit Loss (ECL) represents the discounted value of anticipated cash flow shortfalls over the remaining life of a financial instrument. The discounting is performed using the instrument’s Effective Interest Rate (EIR).</w:t>
      </w:r>
    </w:p>
    <w:p w14:paraId="2BA9B1E2" w14:textId="77777777" w:rsidR="004E4CE3" w:rsidRPr="00F32EE9" w:rsidRDefault="004E4CE3" w:rsidP="00A34489">
      <w:pPr>
        <w:jc w:val="both"/>
        <w:rPr>
          <w:rFonts w:cs="Calibri"/>
          <w:lang w:val="en-IN"/>
        </w:rPr>
      </w:pPr>
      <w:r w:rsidRPr="00F32EE9">
        <w:rPr>
          <w:rFonts w:cs="Calibri"/>
          <w:lang w:val="en-IN"/>
        </w:rPr>
        <w:t>To estimate ECL, three components are required:</w:t>
      </w:r>
    </w:p>
    <w:p w14:paraId="281A047E" w14:textId="77777777" w:rsidR="004E4CE3" w:rsidRPr="00F32EE9" w:rsidRDefault="004E4CE3" w:rsidP="005A6AE3">
      <w:pPr>
        <w:numPr>
          <w:ilvl w:val="0"/>
          <w:numId w:val="12"/>
        </w:numPr>
        <w:tabs>
          <w:tab w:val="clear" w:pos="360"/>
          <w:tab w:val="num" w:pos="720"/>
        </w:tabs>
        <w:jc w:val="both"/>
        <w:rPr>
          <w:rFonts w:cs="Calibri"/>
          <w:lang w:val="en-IN"/>
        </w:rPr>
      </w:pPr>
      <w:r w:rsidRPr="00F32EE9">
        <w:rPr>
          <w:rFonts w:cs="Calibri"/>
          <w:lang w:val="en-IN"/>
        </w:rPr>
        <w:t>Probability of Default (PD) – the likelihood that a borrower will default over a specified horizon.</w:t>
      </w:r>
    </w:p>
    <w:p w14:paraId="092B2401" w14:textId="77777777" w:rsidR="004E4CE3" w:rsidRPr="00F32EE9" w:rsidRDefault="004E4CE3" w:rsidP="005A6AE3">
      <w:pPr>
        <w:numPr>
          <w:ilvl w:val="0"/>
          <w:numId w:val="12"/>
        </w:numPr>
        <w:tabs>
          <w:tab w:val="clear" w:pos="360"/>
          <w:tab w:val="num" w:pos="720"/>
        </w:tabs>
        <w:jc w:val="both"/>
        <w:rPr>
          <w:rFonts w:cs="Calibri"/>
          <w:lang w:val="en-IN"/>
        </w:rPr>
      </w:pPr>
      <w:r w:rsidRPr="00F32EE9">
        <w:rPr>
          <w:rFonts w:cs="Calibri"/>
          <w:lang w:val="en-IN"/>
        </w:rPr>
        <w:t>Loss Given Default (LGD) – the proportion of exposure expected to be lost if default occurs.</w:t>
      </w:r>
    </w:p>
    <w:p w14:paraId="5710DFC0" w14:textId="77777777" w:rsidR="004E4CE3" w:rsidRPr="00F32EE9" w:rsidRDefault="004E4CE3" w:rsidP="005A6AE3">
      <w:pPr>
        <w:numPr>
          <w:ilvl w:val="0"/>
          <w:numId w:val="12"/>
        </w:numPr>
        <w:tabs>
          <w:tab w:val="clear" w:pos="360"/>
          <w:tab w:val="num" w:pos="720"/>
        </w:tabs>
        <w:jc w:val="both"/>
        <w:rPr>
          <w:rFonts w:cs="Calibri"/>
          <w:lang w:val="en-IN"/>
        </w:rPr>
      </w:pPr>
      <w:r w:rsidRPr="00F32EE9">
        <w:rPr>
          <w:rFonts w:cs="Calibri"/>
          <w:lang w:val="en-IN"/>
        </w:rPr>
        <w:t>Exposure at Default (EAD) – the estimated exposure outstanding at the time of default.</w:t>
      </w:r>
    </w:p>
    <w:p w14:paraId="754C7B4F" w14:textId="77777777" w:rsidR="00F66305" w:rsidRPr="00F32EE9" w:rsidRDefault="00F66305" w:rsidP="00F66305">
      <w:pPr>
        <w:jc w:val="both"/>
        <w:rPr>
          <w:rFonts w:cs="Calibri"/>
          <w:lang w:val="en-IN"/>
        </w:rPr>
      </w:pPr>
      <w:r w:rsidRPr="00F66305">
        <w:rPr>
          <w:rFonts w:cs="Calibri"/>
          <w:lang w:val="en-IN"/>
        </w:rPr>
        <w:t>For each future period, the expected loss is determined by multiplying PD, LGD, and EAD. These periodic expected losses are then discounted back to the reporting date using a Discount Factor (DF), derived from the EIR, to arrive at the present value of total expected losses.</w:t>
      </w:r>
    </w:p>
    <w:p w14:paraId="461FE9FB" w14:textId="77777777" w:rsidR="00EC0C41" w:rsidRPr="00F32EE9" w:rsidRDefault="00EC0C41" w:rsidP="00EC0C41">
      <w:pPr>
        <w:jc w:val="both"/>
        <w:rPr>
          <w:rFonts w:cs="Calibri"/>
          <w:lang w:val="en-IN"/>
        </w:rPr>
      </w:pPr>
      <w:r w:rsidRPr="00F32EE9">
        <w:rPr>
          <w:rFonts w:cs="Calibri"/>
          <w:lang w:val="en-IN"/>
        </w:rPr>
        <w:lastRenderedPageBreak/>
        <w:t xml:space="preserve">Below is the formula for computing ECL: </w:t>
      </w:r>
    </w:p>
    <w:p w14:paraId="5B47A3E2" w14:textId="3F8B87D0" w:rsidR="004711F8" w:rsidRPr="00F32EE9" w:rsidRDefault="004711F8" w:rsidP="004711F8">
      <w:pPr>
        <w:jc w:val="center"/>
        <w:rPr>
          <w:rFonts w:cs="Calibri"/>
          <w:sz w:val="20"/>
          <w:szCs w:val="20"/>
        </w:rPr>
      </w:pPr>
      <m:oMathPara>
        <m:oMath>
          <m:r>
            <w:rPr>
              <w:rFonts w:ascii="Cambria Math" w:hAnsi="Cambria Math" w:cs="Calibri"/>
              <w:sz w:val="20"/>
              <w:szCs w:val="20"/>
            </w:rPr>
            <m:t xml:space="preserve">ECL= </m:t>
          </m:r>
          <m:nary>
            <m:naryPr>
              <m:chr m:val="∑"/>
              <m:limLoc m:val="undOvr"/>
              <m:ctrlPr>
                <w:rPr>
                  <w:rFonts w:ascii="Cambria Math" w:hAnsi="Cambria Math" w:cs="Calibri"/>
                  <w:i/>
                  <w:sz w:val="20"/>
                  <w:szCs w:val="20"/>
                </w:rPr>
              </m:ctrlPr>
            </m:naryPr>
            <m:sub>
              <m:r>
                <w:rPr>
                  <w:rFonts w:ascii="Cambria Math" w:hAnsi="Cambria Math" w:cs="Calibri"/>
                  <w:sz w:val="20"/>
                  <w:szCs w:val="20"/>
                </w:rPr>
                <m:t>t=1</m:t>
              </m:r>
            </m:sub>
            <m:sup>
              <m:r>
                <w:rPr>
                  <w:rFonts w:ascii="Cambria Math" w:hAnsi="Cambria Math" w:cs="Calibri"/>
                  <w:sz w:val="20"/>
                  <w:szCs w:val="20"/>
                </w:rPr>
                <m:t>T</m:t>
              </m:r>
            </m:sup>
            <m:e>
              <m:sSub>
                <m:sSubPr>
                  <m:ctrlPr>
                    <w:rPr>
                      <w:rFonts w:ascii="Cambria Math" w:hAnsi="Cambria Math" w:cs="Calibri"/>
                      <w:i/>
                      <w:sz w:val="20"/>
                      <w:szCs w:val="20"/>
                    </w:rPr>
                  </m:ctrlPr>
                </m:sSubPr>
                <m:e>
                  <m:r>
                    <w:rPr>
                      <w:rFonts w:ascii="Cambria Math" w:hAnsi="Cambria Math" w:cs="Calibri"/>
                      <w:sz w:val="20"/>
                      <w:szCs w:val="20"/>
                    </w:rPr>
                    <m:t>MPD</m:t>
                  </m:r>
                </m:e>
                <m:sub>
                  <m:r>
                    <w:rPr>
                      <w:rFonts w:ascii="Cambria Math" w:hAnsi="Cambria Math" w:cs="Calibri"/>
                      <w:sz w:val="20"/>
                      <w:szCs w:val="20"/>
                    </w:rPr>
                    <m:t>t</m:t>
                  </m:r>
                </m:sub>
              </m:sSub>
              <m:r>
                <w:rPr>
                  <w:rFonts w:ascii="Cambria Math" w:hAnsi="Cambria Math" w:cs="Calibri"/>
                  <w:sz w:val="20"/>
                  <w:szCs w:val="20"/>
                </w:rPr>
                <m:t>×LGD×EAD</m:t>
              </m:r>
              <m:sSub>
                <m:sSubPr>
                  <m:ctrlPr>
                    <w:rPr>
                      <w:rFonts w:ascii="Cambria Math" w:hAnsi="Cambria Math" w:cs="Calibri"/>
                      <w:i/>
                      <w:sz w:val="20"/>
                      <w:szCs w:val="20"/>
                    </w:rPr>
                  </m:ctrlPr>
                </m:sSubPr>
                <m:e>
                  <m:r>
                    <w:rPr>
                      <w:rFonts w:ascii="Cambria Math" w:hAnsi="Cambria Math" w:cs="Calibri"/>
                      <w:sz w:val="20"/>
                      <w:szCs w:val="20"/>
                    </w:rPr>
                    <m:t>×</m:t>
                  </m:r>
                  <m:r>
                    <w:rPr>
                      <w:rFonts w:ascii="Cambria Math" w:hAnsi="Cambria Math" w:cs="Calibri"/>
                      <w:sz w:val="20"/>
                      <w:szCs w:val="20"/>
                    </w:rPr>
                    <m:t>D</m:t>
                  </m:r>
                  <m:r>
                    <w:rPr>
                      <w:rFonts w:ascii="Cambria Math" w:hAnsi="Cambria Math" w:cs="Calibri"/>
                      <w:sz w:val="20"/>
                      <w:szCs w:val="20"/>
                    </w:rPr>
                    <m:t>F</m:t>
                  </m:r>
                </m:e>
                <m:sub>
                  <m:r>
                    <w:rPr>
                      <w:rFonts w:ascii="Cambria Math" w:hAnsi="Cambria Math" w:cs="Calibri"/>
                      <w:sz w:val="20"/>
                      <w:szCs w:val="20"/>
                    </w:rPr>
                    <m:t>t</m:t>
                  </m:r>
                </m:sub>
              </m:sSub>
            </m:e>
          </m:nary>
        </m:oMath>
      </m:oMathPara>
    </w:p>
    <w:p w14:paraId="19A49DD5" w14:textId="744A33D1" w:rsidR="004711F8" w:rsidRPr="00F32EE9" w:rsidRDefault="00F32EE9" w:rsidP="00EC0C41">
      <w:pPr>
        <w:jc w:val="both"/>
        <w:rPr>
          <w:rFonts w:cs="Calibri"/>
          <w:lang w:val="en-IN"/>
        </w:rPr>
      </w:pPr>
      <w:proofErr w:type="gramStart"/>
      <w:r w:rsidRPr="00F32EE9">
        <w:rPr>
          <w:rFonts w:cs="Calibri"/>
          <w:lang w:val="en-IN"/>
        </w:rPr>
        <w:t>Where</w:t>
      </w:r>
      <w:proofErr w:type="gramEnd"/>
      <w:r w:rsidRPr="00F32EE9">
        <w:rPr>
          <w:rFonts w:cs="Calibri"/>
          <w:lang w:val="en-IN"/>
        </w:rPr>
        <w:t>,</w:t>
      </w:r>
    </w:p>
    <w:p w14:paraId="3C103FEF" w14:textId="374A5852" w:rsidR="004711F8" w:rsidRPr="00F32EE9" w:rsidRDefault="00EF74C9" w:rsidP="00EC0C41">
      <w:pPr>
        <w:jc w:val="both"/>
        <w:rPr>
          <w:rFonts w:cs="Calibri"/>
          <w:lang w:val="en-IN"/>
        </w:rPr>
      </w:pPr>
      <m:oMathPara>
        <m:oMath>
          <m:sSub>
            <m:sSubPr>
              <m:ctrlPr>
                <w:rPr>
                  <w:rFonts w:ascii="Cambria Math" w:hAnsi="Cambria Math" w:cs="Calibri"/>
                  <w:i/>
                  <w:sz w:val="20"/>
                  <w:szCs w:val="20"/>
                </w:rPr>
              </m:ctrlPr>
            </m:sSubPr>
            <m:e>
              <m:r>
                <w:rPr>
                  <w:rFonts w:ascii="Cambria Math" w:hAnsi="Cambria Math" w:cs="Calibri"/>
                  <w:sz w:val="20"/>
                  <w:szCs w:val="20"/>
                </w:rPr>
                <m:t>DF</m:t>
              </m:r>
            </m:e>
            <m:sub>
              <m:r>
                <w:rPr>
                  <w:rFonts w:ascii="Cambria Math" w:hAnsi="Cambria Math" w:cs="Calibri"/>
                  <w:sz w:val="20"/>
                  <w:szCs w:val="20"/>
                </w:rPr>
                <m:t>t</m:t>
              </m:r>
            </m:sub>
          </m:sSub>
          <m:r>
            <w:rPr>
              <w:rFonts w:ascii="Cambria Math" w:hAnsi="Cambria Math" w:cs="Calibri"/>
              <w:sz w:val="20"/>
              <w:szCs w:val="20"/>
            </w:rPr>
            <m:t>=</m:t>
          </m:r>
          <m:f>
            <m:fPr>
              <m:ctrlPr>
                <w:rPr>
                  <w:rFonts w:ascii="Cambria Math" w:hAnsi="Cambria Math" w:cs="Calibri"/>
                  <w:i/>
                  <w:sz w:val="20"/>
                  <w:szCs w:val="20"/>
                </w:rPr>
              </m:ctrlPr>
            </m:fPr>
            <m:num>
              <m:r>
                <w:rPr>
                  <w:rFonts w:ascii="Cambria Math" w:hAnsi="Cambria Math" w:cs="Calibri"/>
                  <w:sz w:val="20"/>
                  <w:szCs w:val="20"/>
                </w:rPr>
                <m:t>1</m:t>
              </m:r>
            </m:num>
            <m:den>
              <m:sSup>
                <m:sSupPr>
                  <m:ctrlPr>
                    <w:rPr>
                      <w:rFonts w:ascii="Cambria Math" w:hAnsi="Cambria Math" w:cs="Calibri"/>
                      <w:i/>
                      <w:sz w:val="20"/>
                      <w:szCs w:val="20"/>
                    </w:rPr>
                  </m:ctrlPr>
                </m:sSupPr>
                <m:e>
                  <m:r>
                    <w:rPr>
                      <w:rFonts w:ascii="Cambria Math" w:hAnsi="Cambria Math" w:cs="Calibri"/>
                      <w:sz w:val="20"/>
                      <w:szCs w:val="20"/>
                    </w:rPr>
                    <m:t>(1+</m:t>
                  </m:r>
                  <m:r>
                    <w:rPr>
                      <w:rFonts w:ascii="Cambria Math" w:hAnsi="Cambria Math" w:cs="Calibri"/>
                      <w:sz w:val="20"/>
                      <w:szCs w:val="20"/>
                    </w:rPr>
                    <m:t>ROI</m:t>
                  </m:r>
                  <m:r>
                    <w:rPr>
                      <w:rFonts w:ascii="Cambria Math" w:hAnsi="Cambria Math" w:cs="Calibri"/>
                      <w:sz w:val="20"/>
                      <w:szCs w:val="20"/>
                    </w:rPr>
                    <m:t>)</m:t>
                  </m:r>
                </m:e>
                <m:sup>
                  <m:r>
                    <w:rPr>
                      <w:rFonts w:ascii="Cambria Math" w:hAnsi="Cambria Math" w:cs="Calibri"/>
                      <w:sz w:val="20"/>
                      <w:szCs w:val="20"/>
                    </w:rPr>
                    <m:t>t</m:t>
                  </m:r>
                </m:sup>
              </m:sSup>
            </m:den>
          </m:f>
        </m:oMath>
      </m:oMathPara>
    </w:p>
    <w:p w14:paraId="6F759A1C" w14:textId="77777777" w:rsidR="00F66305" w:rsidRPr="00F32EE9" w:rsidRDefault="00F66305" w:rsidP="00A34489">
      <w:pPr>
        <w:jc w:val="both"/>
        <w:rPr>
          <w:rFonts w:cs="Calibri"/>
          <w:lang w:val="en-IN"/>
        </w:rPr>
      </w:pPr>
    </w:p>
    <w:p w14:paraId="5584302B" w14:textId="78965B28" w:rsidR="00162915" w:rsidRPr="00F32EE9" w:rsidRDefault="00162915" w:rsidP="00162915">
      <w:pPr>
        <w:pStyle w:val="BodyText"/>
        <w:spacing w:before="152"/>
        <w:rPr>
          <w:rFonts w:cs="Calibri"/>
          <w:spacing w:val="-2"/>
        </w:rPr>
      </w:pPr>
      <w:r w:rsidRPr="00F32EE9">
        <w:rPr>
          <w:rFonts w:cs="Calibri"/>
          <w:spacing w:val="-2"/>
        </w:rPr>
        <w:t>Where:</w:t>
      </w:r>
    </w:p>
    <w:p w14:paraId="6EC16E59" w14:textId="7B1A3584" w:rsidR="004711F8" w:rsidRPr="004711F8" w:rsidRDefault="004711F8" w:rsidP="005A6AE3">
      <w:pPr>
        <w:pStyle w:val="BodyText"/>
        <w:numPr>
          <w:ilvl w:val="0"/>
          <w:numId w:val="23"/>
        </w:numPr>
        <w:spacing w:before="152"/>
        <w:rPr>
          <w:rFonts w:cs="Calibri"/>
          <w:lang w:val="en-IN"/>
        </w:rPr>
      </w:pPr>
      <w:proofErr w:type="spellStart"/>
      <w:r w:rsidRPr="004711F8">
        <w:rPr>
          <w:rFonts w:cs="Calibri"/>
          <w:b/>
          <w:bCs/>
          <w:lang w:val="en-IN"/>
        </w:rPr>
        <w:t>MPD_t</w:t>
      </w:r>
      <w:proofErr w:type="spellEnd"/>
      <w:r w:rsidRPr="004711F8">
        <w:rPr>
          <w:rFonts w:cs="Calibri"/>
          <w:lang w:val="en-IN"/>
        </w:rPr>
        <w:t xml:space="preserve"> is the marginal probability of default at time </w:t>
      </w:r>
      <w:r w:rsidRPr="004711F8">
        <w:rPr>
          <w:rFonts w:cs="Calibri"/>
          <w:i/>
          <w:iCs/>
          <w:lang w:val="en-IN"/>
        </w:rPr>
        <w:t>t</w:t>
      </w:r>
      <w:r w:rsidRPr="004711F8">
        <w:rPr>
          <w:rFonts w:cs="Calibri"/>
          <w:lang w:val="en-IN"/>
        </w:rPr>
        <w:t xml:space="preserve"> with forward-looking element, where </w:t>
      </w:r>
      <w:r w:rsidRPr="004711F8">
        <w:rPr>
          <w:rFonts w:cs="Calibri"/>
          <w:i/>
          <w:iCs/>
          <w:lang w:val="en-IN"/>
        </w:rPr>
        <w:t>t</w:t>
      </w:r>
      <w:r w:rsidRPr="004711F8">
        <w:rPr>
          <w:rFonts w:cs="Calibri"/>
          <w:lang w:val="en-IN"/>
        </w:rPr>
        <w:t xml:space="preserve"> = 1 at the reporting date </w:t>
      </w:r>
    </w:p>
    <w:p w14:paraId="0DB33FF3" w14:textId="3783FD18" w:rsidR="004711F8" w:rsidRPr="004711F8" w:rsidRDefault="004711F8" w:rsidP="005A6AE3">
      <w:pPr>
        <w:pStyle w:val="BodyText"/>
        <w:numPr>
          <w:ilvl w:val="0"/>
          <w:numId w:val="23"/>
        </w:numPr>
        <w:spacing w:before="152"/>
        <w:rPr>
          <w:rFonts w:cs="Calibri"/>
          <w:lang w:val="en-IN"/>
        </w:rPr>
      </w:pPr>
      <w:proofErr w:type="spellStart"/>
      <w:r w:rsidRPr="004711F8">
        <w:rPr>
          <w:rFonts w:cs="Calibri"/>
          <w:b/>
          <w:bCs/>
          <w:lang w:val="en-IN"/>
        </w:rPr>
        <w:t>LGD_t</w:t>
      </w:r>
      <w:proofErr w:type="spellEnd"/>
      <w:r w:rsidRPr="004711F8">
        <w:rPr>
          <w:rFonts w:cs="Calibri"/>
          <w:lang w:val="en-IN"/>
        </w:rPr>
        <w:t xml:space="preserve"> is the loss given default at time </w:t>
      </w:r>
      <w:r w:rsidRPr="004711F8">
        <w:rPr>
          <w:rFonts w:cs="Calibri"/>
          <w:i/>
          <w:iCs/>
          <w:lang w:val="en-IN"/>
        </w:rPr>
        <w:t>t</w:t>
      </w:r>
      <w:r w:rsidRPr="004711F8">
        <w:rPr>
          <w:rFonts w:cs="Calibri"/>
          <w:lang w:val="en-IN"/>
        </w:rPr>
        <w:t xml:space="preserve"> with forward-looking element </w:t>
      </w:r>
    </w:p>
    <w:p w14:paraId="30A90B3F" w14:textId="5D914A2C" w:rsidR="004711F8" w:rsidRPr="004711F8" w:rsidRDefault="004711F8" w:rsidP="005A6AE3">
      <w:pPr>
        <w:pStyle w:val="BodyText"/>
        <w:numPr>
          <w:ilvl w:val="0"/>
          <w:numId w:val="23"/>
        </w:numPr>
        <w:spacing w:before="152"/>
        <w:rPr>
          <w:rFonts w:cs="Calibri"/>
          <w:lang w:val="en-IN"/>
        </w:rPr>
      </w:pPr>
      <w:proofErr w:type="spellStart"/>
      <w:r w:rsidRPr="004711F8">
        <w:rPr>
          <w:rFonts w:cs="Calibri"/>
          <w:b/>
          <w:bCs/>
          <w:lang w:val="en-IN"/>
        </w:rPr>
        <w:t>EAD_t</w:t>
      </w:r>
      <w:proofErr w:type="spellEnd"/>
      <w:r w:rsidRPr="004711F8">
        <w:rPr>
          <w:rFonts w:cs="Calibri"/>
          <w:lang w:val="en-IN"/>
        </w:rPr>
        <w:t xml:space="preserve"> is the exposure at default at time </w:t>
      </w:r>
      <w:r w:rsidRPr="004711F8">
        <w:rPr>
          <w:rFonts w:cs="Calibri"/>
          <w:i/>
          <w:iCs/>
          <w:lang w:val="en-IN"/>
        </w:rPr>
        <w:t>t</w:t>
      </w:r>
      <w:r w:rsidRPr="004711F8">
        <w:rPr>
          <w:rFonts w:cs="Calibri"/>
          <w:lang w:val="en-IN"/>
        </w:rPr>
        <w:t xml:space="preserve"> </w:t>
      </w:r>
    </w:p>
    <w:p w14:paraId="7D3B2C61" w14:textId="5BFFFC05" w:rsidR="009C6A6A" w:rsidRPr="00F32EE9" w:rsidRDefault="00307D79" w:rsidP="005A6AE3">
      <w:pPr>
        <w:pStyle w:val="font-claude-response-body"/>
        <w:numPr>
          <w:ilvl w:val="0"/>
          <w:numId w:val="23"/>
        </w:numPr>
        <w:rPr>
          <w:rFonts w:asciiTheme="majorHAnsi" w:hAnsiTheme="majorHAnsi" w:cstheme="majorHAnsi"/>
          <w:sz w:val="22"/>
          <w:szCs w:val="22"/>
          <w:lang w:val="en-US"/>
        </w:rPr>
      </w:pPr>
      <w:proofErr w:type="spellStart"/>
      <w:r w:rsidRPr="00F32EE9">
        <w:rPr>
          <w:rStyle w:val="Strong"/>
          <w:rFonts w:asciiTheme="majorHAnsi" w:hAnsiTheme="majorHAnsi" w:cstheme="majorHAnsi"/>
          <w:sz w:val="22"/>
          <w:szCs w:val="22"/>
        </w:rPr>
        <w:t>DF_t</w:t>
      </w:r>
      <w:proofErr w:type="spellEnd"/>
      <w:r w:rsidRPr="00F32EE9">
        <w:rPr>
          <w:rStyle w:val="Strong"/>
          <w:rFonts w:asciiTheme="majorHAnsi" w:hAnsiTheme="majorHAnsi" w:cstheme="majorHAnsi"/>
          <w:b w:val="0"/>
          <w:bCs w:val="0"/>
          <w:sz w:val="22"/>
          <w:szCs w:val="22"/>
        </w:rPr>
        <w:t xml:space="preserve"> is the</w:t>
      </w:r>
      <w:r w:rsidR="00DA03DB" w:rsidRPr="00F32EE9">
        <w:rPr>
          <w:rFonts w:asciiTheme="majorHAnsi" w:hAnsiTheme="majorHAnsi" w:cstheme="majorHAnsi"/>
          <w:sz w:val="22"/>
          <w:szCs w:val="22"/>
          <w:lang w:val="en-US"/>
        </w:rPr>
        <w:t xml:space="preserve"> </w:t>
      </w:r>
      <w:r w:rsidR="009C6A6A" w:rsidRPr="00F32EE9">
        <w:rPr>
          <w:rFonts w:asciiTheme="majorHAnsi" w:hAnsiTheme="majorHAnsi" w:cstheme="majorHAnsi"/>
          <w:sz w:val="22"/>
          <w:szCs w:val="22"/>
          <w:lang w:val="en-US"/>
        </w:rPr>
        <w:t xml:space="preserve">discount factor at time </w:t>
      </w:r>
      <w:r w:rsidR="009C6A6A" w:rsidRPr="00F32EE9">
        <w:rPr>
          <w:rFonts w:asciiTheme="majorHAnsi" w:hAnsiTheme="majorHAnsi" w:cstheme="majorHAnsi"/>
          <w:i/>
          <w:iCs/>
          <w:sz w:val="22"/>
          <w:szCs w:val="22"/>
          <w:lang w:val="en-US"/>
        </w:rPr>
        <w:t>t</w:t>
      </w:r>
      <w:r w:rsidR="009C6A6A" w:rsidRPr="00F32EE9">
        <w:rPr>
          <w:rFonts w:asciiTheme="majorHAnsi" w:hAnsiTheme="majorHAnsi" w:cstheme="majorHAnsi"/>
          <w:sz w:val="22"/>
          <w:szCs w:val="22"/>
          <w:lang w:val="en-US"/>
        </w:rPr>
        <w:t>, already incorporated within the PD calculation.</w:t>
      </w:r>
    </w:p>
    <w:p w14:paraId="1A79E944" w14:textId="56C8D554" w:rsidR="0070221B" w:rsidRPr="00F32EE9" w:rsidRDefault="00951D77" w:rsidP="005A6AE3">
      <w:pPr>
        <w:pStyle w:val="Heading2"/>
        <w:numPr>
          <w:ilvl w:val="0"/>
          <w:numId w:val="17"/>
        </w:numPr>
        <w:ind w:left="450" w:hanging="450"/>
      </w:pPr>
      <w:bookmarkStart w:id="19" w:name="_Toc229059011"/>
      <w:r w:rsidRPr="00F32EE9">
        <w:t>Prudential Floor &amp; Impairment Reserve:</w:t>
      </w:r>
      <w:bookmarkEnd w:id="19"/>
    </w:p>
    <w:p w14:paraId="05BB9BCD" w14:textId="78883397" w:rsidR="0070221B" w:rsidRPr="00F32EE9" w:rsidRDefault="00951D77" w:rsidP="00166770">
      <w:pPr>
        <w:pStyle w:val="BodyText"/>
        <w:spacing w:before="17"/>
        <w:jc w:val="both"/>
        <w:rPr>
          <w:rFonts w:cs="Calibri"/>
        </w:rPr>
      </w:pPr>
      <w:r w:rsidRPr="00F32EE9">
        <w:rPr>
          <w:rFonts w:cs="Calibri"/>
        </w:rPr>
        <w:t xml:space="preserve">A comparative assessment is carried out between impairment provisions computed under </w:t>
      </w:r>
      <w:r w:rsidRPr="00F32EE9">
        <w:rPr>
          <w:rFonts w:cs="Calibri"/>
          <w:b/>
          <w:bCs/>
        </w:rPr>
        <w:t>Ind AS 109</w:t>
      </w:r>
      <w:r w:rsidRPr="00F32EE9">
        <w:rPr>
          <w:rFonts w:cs="Calibri"/>
        </w:rPr>
        <w:t xml:space="preserve"> and the provisions required under </w:t>
      </w:r>
      <w:r w:rsidRPr="00F32EE9">
        <w:rPr>
          <w:rFonts w:cs="Calibri"/>
          <w:b/>
          <w:bCs/>
        </w:rPr>
        <w:t>IRACP norms</w:t>
      </w:r>
      <w:r w:rsidRPr="00F32EE9">
        <w:rPr>
          <w:rFonts w:cs="Calibri"/>
        </w:rPr>
        <w:t xml:space="preserve">, and the </w:t>
      </w:r>
      <w:r w:rsidRPr="00F32EE9">
        <w:rPr>
          <w:rFonts w:cs="Calibri"/>
          <w:b/>
          <w:bCs/>
        </w:rPr>
        <w:t>higher provision amount is adopted</w:t>
      </w:r>
      <w:r w:rsidRPr="00F32EE9">
        <w:rPr>
          <w:rFonts w:cs="Calibri"/>
        </w:rPr>
        <w:t xml:space="preserve"> as the prudential floor for impairment recognition.</w:t>
      </w:r>
    </w:p>
    <w:p w14:paraId="5AA051F2" w14:textId="77777777" w:rsidR="00951D77" w:rsidRPr="00F32EE9" w:rsidRDefault="00951D77" w:rsidP="00166770">
      <w:pPr>
        <w:pStyle w:val="BodyText"/>
        <w:spacing w:before="17"/>
        <w:jc w:val="both"/>
        <w:rPr>
          <w:rFonts w:cs="Calibri"/>
        </w:rPr>
      </w:pPr>
    </w:p>
    <w:p w14:paraId="09474095" w14:textId="516EB6FD" w:rsidR="005F4577" w:rsidRPr="00F32EE9" w:rsidRDefault="00835D7A" w:rsidP="005A6AE3">
      <w:pPr>
        <w:pStyle w:val="Heading1"/>
        <w:numPr>
          <w:ilvl w:val="0"/>
          <w:numId w:val="19"/>
        </w:numPr>
      </w:pPr>
      <w:bookmarkStart w:id="20" w:name="_Toc229059012"/>
      <w:r w:rsidRPr="00F32EE9">
        <w:t>Reporting</w:t>
      </w:r>
      <w:bookmarkEnd w:id="20"/>
      <w:r w:rsidR="0032024C" w:rsidRPr="00F32EE9">
        <w:t xml:space="preserve"> </w:t>
      </w:r>
    </w:p>
    <w:p w14:paraId="6D869E70" w14:textId="77777777" w:rsidR="00D63236" w:rsidRPr="00F32EE9" w:rsidRDefault="00D63236" w:rsidP="00421AE5">
      <w:pPr>
        <w:rPr>
          <w:lang w:val="en-IN"/>
        </w:rPr>
      </w:pPr>
    </w:p>
    <w:p w14:paraId="2488BA03" w14:textId="485863E3" w:rsidR="00452F9B" w:rsidRPr="00F32EE9" w:rsidRDefault="00452F9B" w:rsidP="00452F9B">
      <w:pPr>
        <w:rPr>
          <w:lang w:val="en-IN"/>
        </w:rPr>
      </w:pPr>
      <w:r w:rsidRPr="00F32EE9">
        <w:t>While presenting the outcome of the computation of ECL at the time of reporting, the parameters and assumptions considered for computation of ECL thereof shall be documented and shall be submitted to Audit Committee along with financial statement of the IRFC on each Reporting Date.</w:t>
      </w:r>
    </w:p>
    <w:p w14:paraId="74E731FE" w14:textId="1F6EF947" w:rsidR="00006C25" w:rsidRPr="00F32EE9" w:rsidRDefault="0050067C" w:rsidP="005A6AE3">
      <w:pPr>
        <w:pStyle w:val="Heading1"/>
        <w:numPr>
          <w:ilvl w:val="0"/>
          <w:numId w:val="19"/>
        </w:numPr>
      </w:pPr>
      <w:bookmarkStart w:id="21" w:name="_Toc229059013"/>
      <w:r w:rsidRPr="00F32EE9">
        <w:t>Delegation of Power</w:t>
      </w:r>
      <w:bookmarkEnd w:id="21"/>
    </w:p>
    <w:p w14:paraId="6F2B7447" w14:textId="77777777" w:rsidR="00F24407" w:rsidRPr="00F32EE9" w:rsidRDefault="00F24407" w:rsidP="008E454B">
      <w:pPr>
        <w:rPr>
          <w:lang w:val="en-IN"/>
        </w:rPr>
      </w:pPr>
    </w:p>
    <w:p w14:paraId="4801BC1C" w14:textId="3A64FE28" w:rsidR="0050067C" w:rsidRPr="00F32EE9" w:rsidRDefault="0050067C" w:rsidP="005A6AE3">
      <w:pPr>
        <w:pStyle w:val="ListParagraph"/>
        <w:numPr>
          <w:ilvl w:val="0"/>
          <w:numId w:val="27"/>
        </w:numPr>
        <w:jc w:val="both"/>
        <w:rPr>
          <w:lang w:val="en-IN"/>
        </w:rPr>
      </w:pPr>
      <w:r w:rsidRPr="00F32EE9">
        <w:rPr>
          <w:lang w:val="en-IN"/>
        </w:rPr>
        <w:t>The Chairman and Managing Director, IRFC shall be the Competent Authority to issue any necessary clarification / interpretation and internal procedure / guidelines for operationalization without altering the intent of the 'Policy'.</w:t>
      </w:r>
    </w:p>
    <w:p w14:paraId="059A4F8C" w14:textId="148B9B25" w:rsidR="0050067C" w:rsidRPr="00F32EE9" w:rsidRDefault="0050067C" w:rsidP="005A6AE3">
      <w:pPr>
        <w:pStyle w:val="ListParagraph"/>
        <w:numPr>
          <w:ilvl w:val="0"/>
          <w:numId w:val="27"/>
        </w:numPr>
        <w:jc w:val="both"/>
        <w:rPr>
          <w:lang w:val="en-IN"/>
        </w:rPr>
      </w:pPr>
      <w:r w:rsidRPr="00F32EE9">
        <w:rPr>
          <w:lang w:val="en-IN"/>
        </w:rPr>
        <w:t>The Chairman and Managing Director, IRFC shall be the Competent Authority to approve any modifications in the 'Policy' pursuant to any further amendments / clarifications / guidelines issued by RBI / any statute in this regard and change in the asset classification, which does not require specific approval of the Board.</w:t>
      </w:r>
    </w:p>
    <w:p w14:paraId="7FDF0D38" w14:textId="77777777" w:rsidR="00452F9B" w:rsidRPr="00F32EE9" w:rsidRDefault="00452F9B" w:rsidP="0050067C">
      <w:pPr>
        <w:jc w:val="both"/>
        <w:rPr>
          <w:lang w:val="en-IN"/>
        </w:rPr>
      </w:pPr>
    </w:p>
    <w:p w14:paraId="4B627826" w14:textId="0BA3FFB8" w:rsidR="00452F9B" w:rsidRPr="00452F9B" w:rsidRDefault="009C6A6A" w:rsidP="00452F9B">
      <w:pPr>
        <w:jc w:val="both"/>
        <w:rPr>
          <w:lang w:val="en-IN"/>
        </w:rPr>
      </w:pPr>
      <w:r w:rsidRPr="00F32EE9">
        <w:rPr>
          <w:lang w:val="en-IN"/>
        </w:rPr>
        <w:lastRenderedPageBreak/>
        <w:t>Also, any</w:t>
      </w:r>
      <w:r w:rsidR="00452F9B" w:rsidRPr="00452F9B">
        <w:rPr>
          <w:lang w:val="en-IN"/>
        </w:rPr>
        <w:t xml:space="preserve"> adjustments to ECL parameters shall be subject to the governance framework outlined below. The situations that may necessitate such adjustments are:</w:t>
      </w:r>
    </w:p>
    <w:p w14:paraId="63A6975D" w14:textId="40783ED4" w:rsidR="00AD5A80" w:rsidRPr="00AD5A80" w:rsidRDefault="00AD5A80" w:rsidP="005A6AE3">
      <w:pPr>
        <w:numPr>
          <w:ilvl w:val="0"/>
          <w:numId w:val="30"/>
        </w:numPr>
        <w:jc w:val="both"/>
        <w:rPr>
          <w:lang w:val="en-IN"/>
        </w:rPr>
      </w:pPr>
      <w:r w:rsidRPr="00AD5A80">
        <w:rPr>
          <w:lang w:val="en-IN"/>
        </w:rPr>
        <w:t>A seven-year historical period has been applied to the PD model. This period may be adjusted driven by changes in regulatory requirements or change in default characteristics of the portfolio. </w:t>
      </w:r>
    </w:p>
    <w:p w14:paraId="52AF97C7" w14:textId="7C865A8E" w:rsidR="00AD5A80" w:rsidRPr="00AD5A80" w:rsidRDefault="00AD5A80" w:rsidP="005A6AE3">
      <w:pPr>
        <w:numPr>
          <w:ilvl w:val="0"/>
          <w:numId w:val="31"/>
        </w:numPr>
        <w:jc w:val="both"/>
        <w:rPr>
          <w:lang w:val="en-IN"/>
        </w:rPr>
      </w:pPr>
      <w:r w:rsidRPr="00AD5A80">
        <w:t>The duration of the macroeconomic forecast may be adjusted (extended or shortened) to reflect changes in data availability, model coverage, or economic outlook</w:t>
      </w:r>
      <w:r w:rsidRPr="00AD5A80">
        <w:rPr>
          <w:lang w:val="en-IN"/>
        </w:rPr>
        <w:t>. </w:t>
      </w:r>
    </w:p>
    <w:p w14:paraId="0855DF4D" w14:textId="217DF44A" w:rsidR="00AD5A80" w:rsidRPr="00AD5A80" w:rsidRDefault="00AD5A80" w:rsidP="005A6AE3">
      <w:pPr>
        <w:numPr>
          <w:ilvl w:val="0"/>
          <w:numId w:val="32"/>
        </w:numPr>
        <w:jc w:val="both"/>
        <w:rPr>
          <w:lang w:val="en-IN"/>
        </w:rPr>
      </w:pPr>
      <w:r w:rsidRPr="00AD5A80">
        <w:rPr>
          <w:lang w:val="en-IN"/>
        </w:rPr>
        <w:t>An override to the selection of macroeconomic variables may be applied where the current set fails to satisfy business logic or where correlation and sign-consistency tests do not hold. </w:t>
      </w:r>
    </w:p>
    <w:p w14:paraId="5DB31154" w14:textId="000D0C0C" w:rsidR="00AD5A80" w:rsidRPr="00AD5A80" w:rsidRDefault="00AD5A80" w:rsidP="005A6AE3">
      <w:pPr>
        <w:numPr>
          <w:ilvl w:val="0"/>
          <w:numId w:val="33"/>
        </w:numPr>
        <w:jc w:val="both"/>
        <w:rPr>
          <w:lang w:val="en-IN"/>
        </w:rPr>
      </w:pPr>
      <w:r w:rsidRPr="00AD5A80">
        <w:rPr>
          <w:lang w:val="en-IN"/>
        </w:rPr>
        <w:t>The multiplication factor applied to the MEV Index to define base, upturn, and downturn scenarios — may be adjusted where considered appropriate. </w:t>
      </w:r>
    </w:p>
    <w:p w14:paraId="2F53EFC4" w14:textId="16B011C3" w:rsidR="00AD5A80" w:rsidRPr="00AD5A80" w:rsidRDefault="00AD5A80" w:rsidP="005A6AE3">
      <w:pPr>
        <w:numPr>
          <w:ilvl w:val="0"/>
          <w:numId w:val="34"/>
        </w:numPr>
        <w:jc w:val="both"/>
        <w:rPr>
          <w:lang w:val="en-IN"/>
        </w:rPr>
      </w:pPr>
      <w:r w:rsidRPr="00AD5A80">
        <w:rPr>
          <w:lang w:val="en-IN"/>
        </w:rPr>
        <w:t>The scenario weights applied to the Base, Upturn and Downturn cases for computing final marginal PIT PD may be adjusted where considered appropriate. </w:t>
      </w:r>
    </w:p>
    <w:p w14:paraId="4221F484" w14:textId="19A661EA" w:rsidR="00AD5A80" w:rsidRPr="00AD5A80" w:rsidRDefault="00AD5A80" w:rsidP="00AD5A80">
      <w:pPr>
        <w:jc w:val="both"/>
        <w:rPr>
          <w:lang w:val="en-IN"/>
        </w:rPr>
      </w:pPr>
      <w:r w:rsidRPr="00F32EE9">
        <w:rPr>
          <w:lang w:val="en-IN"/>
        </w:rPr>
        <w:t>Any management</w:t>
      </w:r>
      <w:r w:rsidRPr="00AD5A80">
        <w:rPr>
          <w:lang w:val="en-IN"/>
        </w:rPr>
        <w:t> overlay will be approved by the Audit Committee of the Board (ACB), and its rationale and basis will be documented in the agenda papers/notes provided to the ACB. </w:t>
      </w:r>
    </w:p>
    <w:p w14:paraId="1FCB6381" w14:textId="77777777" w:rsidR="00AD5A80" w:rsidRPr="00452F9B" w:rsidRDefault="00AD5A80" w:rsidP="00452F9B">
      <w:pPr>
        <w:jc w:val="both"/>
        <w:rPr>
          <w:lang w:val="en-IN"/>
        </w:rPr>
      </w:pPr>
    </w:p>
    <w:p w14:paraId="03226F1E" w14:textId="77777777" w:rsidR="0050067C" w:rsidRPr="000230F3" w:rsidRDefault="0050067C" w:rsidP="000230F3">
      <w:pPr>
        <w:jc w:val="both"/>
        <w:rPr>
          <w:lang w:val="en-IN"/>
        </w:rPr>
      </w:pPr>
    </w:p>
    <w:p w14:paraId="15D66190" w14:textId="77777777" w:rsidR="00EC23CF" w:rsidRPr="00421AE5" w:rsidRDefault="00EC23CF" w:rsidP="00421AE5">
      <w:pPr>
        <w:rPr>
          <w:lang w:val="en-IN"/>
        </w:rPr>
      </w:pPr>
    </w:p>
    <w:sectPr w:rsidR="00EC23CF" w:rsidRPr="00421AE5" w:rsidSect="0052294D">
      <w:headerReference w:type="default" r:id="rId11"/>
      <w:footerReference w:type="default" r:id="rId12"/>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82F11" w14:textId="77777777" w:rsidR="00707688" w:rsidRDefault="00707688" w:rsidP="0052294D">
      <w:pPr>
        <w:spacing w:after="0" w:line="240" w:lineRule="auto"/>
      </w:pPr>
      <w:r>
        <w:separator/>
      </w:r>
    </w:p>
  </w:endnote>
  <w:endnote w:type="continuationSeparator" w:id="0">
    <w:p w14:paraId="2D14169D" w14:textId="77777777" w:rsidR="00707688" w:rsidRDefault="00707688" w:rsidP="00522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82262"/>
      <w:docPartObj>
        <w:docPartGallery w:val="Page Numbers (Bottom of Page)"/>
        <w:docPartUnique/>
      </w:docPartObj>
    </w:sdtPr>
    <w:sdtEndPr>
      <w:rPr>
        <w:color w:val="7F7F7F" w:themeColor="background1" w:themeShade="7F"/>
        <w:spacing w:val="60"/>
      </w:rPr>
    </w:sdtEndPr>
    <w:sdtContent>
      <w:p w14:paraId="5D7F90A0" w14:textId="645098D0" w:rsidR="0052294D" w:rsidRDefault="0052294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4A0580" w14:textId="77777777" w:rsidR="0052294D" w:rsidRDefault="00522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D65A" w14:textId="77777777" w:rsidR="00707688" w:rsidRDefault="00707688" w:rsidP="0052294D">
      <w:pPr>
        <w:spacing w:after="0" w:line="240" w:lineRule="auto"/>
      </w:pPr>
      <w:r>
        <w:separator/>
      </w:r>
    </w:p>
  </w:footnote>
  <w:footnote w:type="continuationSeparator" w:id="0">
    <w:p w14:paraId="6B67EC12" w14:textId="77777777" w:rsidR="00707688" w:rsidRDefault="00707688" w:rsidP="00522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1DE9F" w14:textId="610C392D" w:rsidR="0052294D" w:rsidRDefault="0052294D">
    <w:pPr>
      <w:pStyle w:val="Header"/>
    </w:pPr>
    <w:r w:rsidRPr="00076E64">
      <w:rPr>
        <w:noProof/>
      </w:rPr>
      <w:drawing>
        <wp:anchor distT="0" distB="0" distL="114300" distR="114300" simplePos="0" relativeHeight="251658240" behindDoc="1" locked="0" layoutInCell="1" allowOverlap="1" wp14:anchorId="0962A274" wp14:editId="5B4E2C74">
          <wp:simplePos x="0" y="0"/>
          <wp:positionH relativeFrom="column">
            <wp:posOffset>5906770</wp:posOffset>
          </wp:positionH>
          <wp:positionV relativeFrom="paragraph">
            <wp:posOffset>-120650</wp:posOffset>
          </wp:positionV>
          <wp:extent cx="994410" cy="596900"/>
          <wp:effectExtent l="0" t="0" r="0" b="0"/>
          <wp:wrapTight wrapText="bothSides">
            <wp:wrapPolygon edited="0">
              <wp:start x="0" y="0"/>
              <wp:lineTo x="0" y="20681"/>
              <wp:lineTo x="21103" y="20681"/>
              <wp:lineTo x="21103" y="0"/>
              <wp:lineTo x="0" y="0"/>
            </wp:wrapPolygon>
          </wp:wrapTight>
          <wp:docPr id="145290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04951" name="Picture 1"/>
                  <pic:cNvPicPr/>
                </pic:nvPicPr>
                <pic:blipFill>
                  <a:blip r:embed="rId1"/>
                  <a:stretch>
                    <a:fillRect/>
                  </a:stretch>
                </pic:blipFill>
                <pic:spPr>
                  <a:xfrm>
                    <a:off x="0" y="0"/>
                    <a:ext cx="994410" cy="596900"/>
                  </a:xfrm>
                  <a:prstGeom prst="rect">
                    <a:avLst/>
                  </a:prstGeom>
                </pic:spPr>
              </pic:pic>
            </a:graphicData>
          </a:graphic>
          <wp14:sizeRelH relativeFrom="margin">
            <wp14:pctWidth>0</wp14:pctWidth>
          </wp14:sizeRelH>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DB1CEC"/>
    <w:multiLevelType w:val="multilevel"/>
    <w:tmpl w:val="757A3C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41B20E6"/>
    <w:multiLevelType w:val="multilevel"/>
    <w:tmpl w:val="97E6E5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E65735B"/>
    <w:multiLevelType w:val="multilevel"/>
    <w:tmpl w:val="772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C1591"/>
    <w:multiLevelType w:val="multilevel"/>
    <w:tmpl w:val="399ED0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00955CF"/>
    <w:multiLevelType w:val="hybridMultilevel"/>
    <w:tmpl w:val="6548E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E4593F"/>
    <w:multiLevelType w:val="hybridMultilevel"/>
    <w:tmpl w:val="069C0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265349"/>
    <w:multiLevelType w:val="hybridMultilevel"/>
    <w:tmpl w:val="98964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A901DF"/>
    <w:multiLevelType w:val="hybridMultilevel"/>
    <w:tmpl w:val="E43A4ABE"/>
    <w:lvl w:ilvl="0" w:tplc="8BEA002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006F2"/>
    <w:multiLevelType w:val="hybridMultilevel"/>
    <w:tmpl w:val="41606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59156C7"/>
    <w:multiLevelType w:val="multilevel"/>
    <w:tmpl w:val="A4F6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4E1BE1"/>
    <w:multiLevelType w:val="hybridMultilevel"/>
    <w:tmpl w:val="D444D2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8162B8"/>
    <w:multiLevelType w:val="hybridMultilevel"/>
    <w:tmpl w:val="AE080566"/>
    <w:lvl w:ilvl="0" w:tplc="6F84B15A">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F13E4B"/>
    <w:multiLevelType w:val="multilevel"/>
    <w:tmpl w:val="1F00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3F612E3"/>
    <w:multiLevelType w:val="multilevel"/>
    <w:tmpl w:val="5F2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BC1B5C"/>
    <w:multiLevelType w:val="hybridMultilevel"/>
    <w:tmpl w:val="17C42A56"/>
    <w:lvl w:ilvl="0" w:tplc="88F81B0A">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8D2FDD"/>
    <w:multiLevelType w:val="hybridMultilevel"/>
    <w:tmpl w:val="FE56ABBE"/>
    <w:lvl w:ilvl="0" w:tplc="1C288510">
      <w:start w:val="1"/>
      <w:numFmt w:val="bullet"/>
      <w:lvlText w:val="•"/>
      <w:lvlJc w:val="left"/>
      <w:pPr>
        <w:ind w:left="720" w:hanging="360"/>
      </w:pPr>
      <w:rPr>
        <w:rFonts w:ascii="Arial" w:eastAsia="Arial" w:hAnsi="Arial" w:cs="Arial"/>
      </w:rPr>
    </w:lvl>
    <w:lvl w:ilvl="1" w:tplc="17440C24">
      <w:start w:val="1"/>
      <w:numFmt w:val="bullet"/>
      <w:lvlText w:val="◦"/>
      <w:lvlJc w:val="left"/>
      <w:pPr>
        <w:ind w:left="1080" w:hanging="360"/>
      </w:pPr>
      <w:rPr>
        <w:rFonts w:ascii="Arial" w:eastAsia="Arial" w:hAnsi="Arial" w:cs="Arial"/>
      </w:rPr>
    </w:lvl>
    <w:lvl w:ilvl="2" w:tplc="FC8C0B56">
      <w:numFmt w:val="decimal"/>
      <w:lvlText w:val=""/>
      <w:lvlJc w:val="left"/>
    </w:lvl>
    <w:lvl w:ilvl="3" w:tplc="45AE833E">
      <w:numFmt w:val="decimal"/>
      <w:lvlText w:val=""/>
      <w:lvlJc w:val="left"/>
    </w:lvl>
    <w:lvl w:ilvl="4" w:tplc="507E4BDC">
      <w:numFmt w:val="decimal"/>
      <w:lvlText w:val=""/>
      <w:lvlJc w:val="left"/>
    </w:lvl>
    <w:lvl w:ilvl="5" w:tplc="BC4C4724">
      <w:numFmt w:val="decimal"/>
      <w:lvlText w:val=""/>
      <w:lvlJc w:val="left"/>
    </w:lvl>
    <w:lvl w:ilvl="6" w:tplc="C5CE2848">
      <w:numFmt w:val="decimal"/>
      <w:lvlText w:val=""/>
      <w:lvlJc w:val="left"/>
    </w:lvl>
    <w:lvl w:ilvl="7" w:tplc="C1A21BB2">
      <w:numFmt w:val="decimal"/>
      <w:lvlText w:val=""/>
      <w:lvlJc w:val="left"/>
    </w:lvl>
    <w:lvl w:ilvl="8" w:tplc="FD4ACA66">
      <w:numFmt w:val="decimal"/>
      <w:lvlText w:val=""/>
      <w:lvlJc w:val="left"/>
    </w:lvl>
  </w:abstractNum>
  <w:abstractNum w:abstractNumId="22" w15:restartNumberingAfterBreak="0">
    <w:nsid w:val="3AC55108"/>
    <w:multiLevelType w:val="multilevel"/>
    <w:tmpl w:val="D64005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1767DD7"/>
    <w:multiLevelType w:val="multilevel"/>
    <w:tmpl w:val="D23250C2"/>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1F91C49"/>
    <w:multiLevelType w:val="multilevel"/>
    <w:tmpl w:val="8FDA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9F4B3B"/>
    <w:multiLevelType w:val="multilevel"/>
    <w:tmpl w:val="CDC244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48E14FF"/>
    <w:multiLevelType w:val="hybridMultilevel"/>
    <w:tmpl w:val="6E4E3258"/>
    <w:lvl w:ilvl="0" w:tplc="5C7679B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25322D"/>
    <w:multiLevelType w:val="multilevel"/>
    <w:tmpl w:val="6574A176"/>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B0B0F70"/>
    <w:multiLevelType w:val="hybridMultilevel"/>
    <w:tmpl w:val="24342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CD5804"/>
    <w:multiLevelType w:val="hybridMultilevel"/>
    <w:tmpl w:val="A28EC94A"/>
    <w:lvl w:ilvl="0" w:tplc="E15AD81C">
      <w:start w:val="1"/>
      <w:numFmt w:val="decimal"/>
      <w:lvlText w:val="3.%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73AA2415"/>
    <w:multiLevelType w:val="multilevel"/>
    <w:tmpl w:val="9140EB6E"/>
    <w:lvl w:ilvl="0">
      <w:start w:val="1"/>
      <w:numFmt w:val="bullet"/>
      <w:lvlText w:val=""/>
      <w:lvlJc w:val="left"/>
      <w:pPr>
        <w:tabs>
          <w:tab w:val="num" w:pos="360"/>
        </w:tabs>
        <w:ind w:left="360" w:hanging="360"/>
      </w:pPr>
      <w:rPr>
        <w:rFonts w:ascii="Symbol" w:hAnsi="Symbol" w:hint="default"/>
        <w:sz w:val="20"/>
      </w:rPr>
    </w:lvl>
    <w:lvl w:ilvl="1">
      <w:start w:val="5"/>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77CE62C2"/>
    <w:multiLevelType w:val="hybridMultilevel"/>
    <w:tmpl w:val="E0E65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8E95A84"/>
    <w:multiLevelType w:val="multilevel"/>
    <w:tmpl w:val="7AE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AC0A09"/>
    <w:multiLevelType w:val="multilevel"/>
    <w:tmpl w:val="30E048A2"/>
    <w:lvl w:ilvl="0">
      <w:start w:val="1"/>
      <w:numFmt w:val="decimal"/>
      <w:lvlText w:val="%1."/>
      <w:lvlJc w:val="left"/>
      <w:pPr>
        <w:ind w:left="360" w:hanging="360"/>
      </w:pPr>
    </w:lvl>
    <w:lvl w:ilvl="1">
      <w:start w:val="1"/>
      <w:numFmt w:val="decimal"/>
      <w:isLgl/>
      <w:lvlText w:val="%1.%2."/>
      <w:lvlJc w:val="left"/>
      <w:pPr>
        <w:ind w:left="495" w:hanging="49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063677002">
    <w:abstractNumId w:val="5"/>
  </w:num>
  <w:num w:numId="2" w16cid:durableId="502164987">
    <w:abstractNumId w:val="3"/>
  </w:num>
  <w:num w:numId="3" w16cid:durableId="159930065">
    <w:abstractNumId w:val="2"/>
  </w:num>
  <w:num w:numId="4" w16cid:durableId="1275281843">
    <w:abstractNumId w:val="4"/>
  </w:num>
  <w:num w:numId="5" w16cid:durableId="1726761940">
    <w:abstractNumId w:val="1"/>
  </w:num>
  <w:num w:numId="6" w16cid:durableId="2121872699">
    <w:abstractNumId w:val="0"/>
  </w:num>
  <w:num w:numId="7" w16cid:durableId="1362827987">
    <w:abstractNumId w:val="30"/>
  </w:num>
  <w:num w:numId="8" w16cid:durableId="2037728384">
    <w:abstractNumId w:val="12"/>
  </w:num>
  <w:num w:numId="9" w16cid:durableId="1168133527">
    <w:abstractNumId w:val="7"/>
  </w:num>
  <w:num w:numId="10" w16cid:durableId="94205994">
    <w:abstractNumId w:val="6"/>
  </w:num>
  <w:num w:numId="11" w16cid:durableId="299002688">
    <w:abstractNumId w:val="25"/>
  </w:num>
  <w:num w:numId="12" w16cid:durableId="1132674409">
    <w:abstractNumId w:val="9"/>
  </w:num>
  <w:num w:numId="13" w16cid:durableId="1919099766">
    <w:abstractNumId w:val="22"/>
  </w:num>
  <w:num w:numId="14" w16cid:durableId="209148163">
    <w:abstractNumId w:val="13"/>
  </w:num>
  <w:num w:numId="15" w16cid:durableId="2106221699">
    <w:abstractNumId w:val="26"/>
  </w:num>
  <w:num w:numId="16" w16cid:durableId="515118662">
    <w:abstractNumId w:val="17"/>
  </w:num>
  <w:num w:numId="17" w16cid:durableId="1164392492">
    <w:abstractNumId w:val="20"/>
  </w:num>
  <w:num w:numId="18" w16cid:durableId="95833261">
    <w:abstractNumId w:val="28"/>
  </w:num>
  <w:num w:numId="19" w16cid:durableId="1695764014">
    <w:abstractNumId w:val="33"/>
  </w:num>
  <w:num w:numId="20" w16cid:durableId="1961449830">
    <w:abstractNumId w:val="29"/>
  </w:num>
  <w:num w:numId="21" w16cid:durableId="1349872303">
    <w:abstractNumId w:val="21"/>
    <w:lvlOverride w:ilvl="0">
      <w:startOverride w:val="1"/>
    </w:lvlOverride>
  </w:num>
  <w:num w:numId="22" w16cid:durableId="548541287">
    <w:abstractNumId w:val="10"/>
  </w:num>
  <w:num w:numId="23" w16cid:durableId="653800307">
    <w:abstractNumId w:val="11"/>
  </w:num>
  <w:num w:numId="24" w16cid:durableId="927662098">
    <w:abstractNumId w:val="16"/>
  </w:num>
  <w:num w:numId="25" w16cid:durableId="1767119416">
    <w:abstractNumId w:val="27"/>
  </w:num>
  <w:num w:numId="26" w16cid:durableId="1342320694">
    <w:abstractNumId w:val="23"/>
  </w:num>
  <w:num w:numId="27" w16cid:durableId="1631394750">
    <w:abstractNumId w:val="31"/>
  </w:num>
  <w:num w:numId="28" w16cid:durableId="1276599739">
    <w:abstractNumId w:val="14"/>
  </w:num>
  <w:num w:numId="29" w16cid:durableId="1961181766">
    <w:abstractNumId w:val="8"/>
  </w:num>
  <w:num w:numId="30" w16cid:durableId="1999797628">
    <w:abstractNumId w:val="32"/>
  </w:num>
  <w:num w:numId="31" w16cid:durableId="190192411">
    <w:abstractNumId w:val="18"/>
  </w:num>
  <w:num w:numId="32" w16cid:durableId="1663266814">
    <w:abstractNumId w:val="19"/>
  </w:num>
  <w:num w:numId="33" w16cid:durableId="706105928">
    <w:abstractNumId w:val="24"/>
  </w:num>
  <w:num w:numId="34" w16cid:durableId="1271278920">
    <w:abstractNumId w:val="1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83"/>
    <w:rsid w:val="00001EA7"/>
    <w:rsid w:val="00002843"/>
    <w:rsid w:val="00004D7A"/>
    <w:rsid w:val="00006C25"/>
    <w:rsid w:val="00007913"/>
    <w:rsid w:val="00013294"/>
    <w:rsid w:val="0001500F"/>
    <w:rsid w:val="00017CBD"/>
    <w:rsid w:val="00020E99"/>
    <w:rsid w:val="000211D1"/>
    <w:rsid w:val="0002136F"/>
    <w:rsid w:val="0002181F"/>
    <w:rsid w:val="00021D6F"/>
    <w:rsid w:val="00022A13"/>
    <w:rsid w:val="000230F3"/>
    <w:rsid w:val="00024759"/>
    <w:rsid w:val="00024EE5"/>
    <w:rsid w:val="000261B5"/>
    <w:rsid w:val="00027A98"/>
    <w:rsid w:val="00027ACC"/>
    <w:rsid w:val="000308DD"/>
    <w:rsid w:val="00031610"/>
    <w:rsid w:val="00031DC9"/>
    <w:rsid w:val="00033954"/>
    <w:rsid w:val="000342EB"/>
    <w:rsid w:val="00034616"/>
    <w:rsid w:val="0003538E"/>
    <w:rsid w:val="00035F00"/>
    <w:rsid w:val="00036412"/>
    <w:rsid w:val="000375C1"/>
    <w:rsid w:val="00037799"/>
    <w:rsid w:val="00037B72"/>
    <w:rsid w:val="000403EA"/>
    <w:rsid w:val="00041CBC"/>
    <w:rsid w:val="0004389D"/>
    <w:rsid w:val="00044104"/>
    <w:rsid w:val="000453E0"/>
    <w:rsid w:val="000459C9"/>
    <w:rsid w:val="00046546"/>
    <w:rsid w:val="00046C3A"/>
    <w:rsid w:val="00046DD8"/>
    <w:rsid w:val="000479FB"/>
    <w:rsid w:val="0005088B"/>
    <w:rsid w:val="00050B32"/>
    <w:rsid w:val="00050E17"/>
    <w:rsid w:val="00052010"/>
    <w:rsid w:val="0005257A"/>
    <w:rsid w:val="00052EE5"/>
    <w:rsid w:val="00054917"/>
    <w:rsid w:val="00056E9D"/>
    <w:rsid w:val="0005701B"/>
    <w:rsid w:val="0005781A"/>
    <w:rsid w:val="00057A14"/>
    <w:rsid w:val="0006063C"/>
    <w:rsid w:val="0006226B"/>
    <w:rsid w:val="00063424"/>
    <w:rsid w:val="00064426"/>
    <w:rsid w:val="000650BA"/>
    <w:rsid w:val="00066AD5"/>
    <w:rsid w:val="00072A5D"/>
    <w:rsid w:val="000731E7"/>
    <w:rsid w:val="00073239"/>
    <w:rsid w:val="000734CB"/>
    <w:rsid w:val="00073636"/>
    <w:rsid w:val="00073B93"/>
    <w:rsid w:val="00081C2A"/>
    <w:rsid w:val="0008397C"/>
    <w:rsid w:val="00084F1F"/>
    <w:rsid w:val="0008692C"/>
    <w:rsid w:val="00086A1B"/>
    <w:rsid w:val="0009146C"/>
    <w:rsid w:val="0009290A"/>
    <w:rsid w:val="00092F60"/>
    <w:rsid w:val="00093367"/>
    <w:rsid w:val="0009368F"/>
    <w:rsid w:val="00093F45"/>
    <w:rsid w:val="00095E20"/>
    <w:rsid w:val="00095E6A"/>
    <w:rsid w:val="00095EF0"/>
    <w:rsid w:val="00097DA0"/>
    <w:rsid w:val="000A1095"/>
    <w:rsid w:val="000A32B3"/>
    <w:rsid w:val="000A3B08"/>
    <w:rsid w:val="000A4199"/>
    <w:rsid w:val="000B0B3E"/>
    <w:rsid w:val="000B156B"/>
    <w:rsid w:val="000B2471"/>
    <w:rsid w:val="000B2F2A"/>
    <w:rsid w:val="000B5E56"/>
    <w:rsid w:val="000B76FB"/>
    <w:rsid w:val="000C03E4"/>
    <w:rsid w:val="000C2C0C"/>
    <w:rsid w:val="000C337A"/>
    <w:rsid w:val="000C366D"/>
    <w:rsid w:val="000C64F2"/>
    <w:rsid w:val="000C7340"/>
    <w:rsid w:val="000D02EB"/>
    <w:rsid w:val="000D0EBC"/>
    <w:rsid w:val="000D3C4C"/>
    <w:rsid w:val="000D3D11"/>
    <w:rsid w:val="000D4AB9"/>
    <w:rsid w:val="000D5D56"/>
    <w:rsid w:val="000D620C"/>
    <w:rsid w:val="000D70B1"/>
    <w:rsid w:val="000E032B"/>
    <w:rsid w:val="000E13AD"/>
    <w:rsid w:val="000E1F0D"/>
    <w:rsid w:val="000E2773"/>
    <w:rsid w:val="000E35E5"/>
    <w:rsid w:val="000E4011"/>
    <w:rsid w:val="000E445F"/>
    <w:rsid w:val="000E4A28"/>
    <w:rsid w:val="000E5134"/>
    <w:rsid w:val="000E5507"/>
    <w:rsid w:val="000E57CF"/>
    <w:rsid w:val="000E5CC2"/>
    <w:rsid w:val="000E7E28"/>
    <w:rsid w:val="000F0870"/>
    <w:rsid w:val="000F0FDA"/>
    <w:rsid w:val="000F143F"/>
    <w:rsid w:val="000F27AF"/>
    <w:rsid w:val="000F6662"/>
    <w:rsid w:val="000F72B3"/>
    <w:rsid w:val="000F7AF8"/>
    <w:rsid w:val="001005DC"/>
    <w:rsid w:val="00102268"/>
    <w:rsid w:val="00102D75"/>
    <w:rsid w:val="00103506"/>
    <w:rsid w:val="00103E25"/>
    <w:rsid w:val="001055E0"/>
    <w:rsid w:val="00106A12"/>
    <w:rsid w:val="001103AE"/>
    <w:rsid w:val="001106BE"/>
    <w:rsid w:val="00110B11"/>
    <w:rsid w:val="0011111F"/>
    <w:rsid w:val="0011356E"/>
    <w:rsid w:val="00114775"/>
    <w:rsid w:val="0011559E"/>
    <w:rsid w:val="00116B88"/>
    <w:rsid w:val="00120629"/>
    <w:rsid w:val="001209E9"/>
    <w:rsid w:val="00121151"/>
    <w:rsid w:val="0012254D"/>
    <w:rsid w:val="001226F6"/>
    <w:rsid w:val="001229C2"/>
    <w:rsid w:val="00123D3F"/>
    <w:rsid w:val="0012418C"/>
    <w:rsid w:val="00124358"/>
    <w:rsid w:val="00126882"/>
    <w:rsid w:val="001268FB"/>
    <w:rsid w:val="00126C7A"/>
    <w:rsid w:val="001309FF"/>
    <w:rsid w:val="00130EF8"/>
    <w:rsid w:val="0013197E"/>
    <w:rsid w:val="001349D4"/>
    <w:rsid w:val="00136E82"/>
    <w:rsid w:val="001408BE"/>
    <w:rsid w:val="001411DD"/>
    <w:rsid w:val="001412B8"/>
    <w:rsid w:val="0014173E"/>
    <w:rsid w:val="0014208F"/>
    <w:rsid w:val="001428AD"/>
    <w:rsid w:val="00142FF0"/>
    <w:rsid w:val="00144207"/>
    <w:rsid w:val="001467B7"/>
    <w:rsid w:val="0015074B"/>
    <w:rsid w:val="00152E32"/>
    <w:rsid w:val="0015323E"/>
    <w:rsid w:val="00153ECF"/>
    <w:rsid w:val="001551A7"/>
    <w:rsid w:val="0015651C"/>
    <w:rsid w:val="00156C75"/>
    <w:rsid w:val="00157B56"/>
    <w:rsid w:val="00161BDF"/>
    <w:rsid w:val="00162915"/>
    <w:rsid w:val="001649AA"/>
    <w:rsid w:val="001661F3"/>
    <w:rsid w:val="00166770"/>
    <w:rsid w:val="00166A0A"/>
    <w:rsid w:val="00167274"/>
    <w:rsid w:val="001679CC"/>
    <w:rsid w:val="00173414"/>
    <w:rsid w:val="0017446A"/>
    <w:rsid w:val="001749E0"/>
    <w:rsid w:val="00175162"/>
    <w:rsid w:val="00175BD6"/>
    <w:rsid w:val="00176317"/>
    <w:rsid w:val="00182283"/>
    <w:rsid w:val="00182921"/>
    <w:rsid w:val="00182CB5"/>
    <w:rsid w:val="00183236"/>
    <w:rsid w:val="00183D04"/>
    <w:rsid w:val="00184068"/>
    <w:rsid w:val="001846B5"/>
    <w:rsid w:val="00184707"/>
    <w:rsid w:val="00185655"/>
    <w:rsid w:val="001865C2"/>
    <w:rsid w:val="00187610"/>
    <w:rsid w:val="001878E5"/>
    <w:rsid w:val="00187F34"/>
    <w:rsid w:val="00190AEF"/>
    <w:rsid w:val="00190BE3"/>
    <w:rsid w:val="001922FA"/>
    <w:rsid w:val="00193160"/>
    <w:rsid w:val="0019368A"/>
    <w:rsid w:val="001A2FAB"/>
    <w:rsid w:val="001A4B12"/>
    <w:rsid w:val="001A5AD6"/>
    <w:rsid w:val="001A796B"/>
    <w:rsid w:val="001B0BD8"/>
    <w:rsid w:val="001B1B6B"/>
    <w:rsid w:val="001B2454"/>
    <w:rsid w:val="001B38C6"/>
    <w:rsid w:val="001B47D6"/>
    <w:rsid w:val="001B772C"/>
    <w:rsid w:val="001C0FAC"/>
    <w:rsid w:val="001C193F"/>
    <w:rsid w:val="001C2A56"/>
    <w:rsid w:val="001C7DB7"/>
    <w:rsid w:val="001D189E"/>
    <w:rsid w:val="001D18E2"/>
    <w:rsid w:val="001D2113"/>
    <w:rsid w:val="001D2B1E"/>
    <w:rsid w:val="001D7248"/>
    <w:rsid w:val="001D744E"/>
    <w:rsid w:val="001E20EA"/>
    <w:rsid w:val="001E4BCE"/>
    <w:rsid w:val="001E5AB0"/>
    <w:rsid w:val="001E5D0C"/>
    <w:rsid w:val="001E6075"/>
    <w:rsid w:val="001E7AB6"/>
    <w:rsid w:val="001F4122"/>
    <w:rsid w:val="001F465C"/>
    <w:rsid w:val="001F5205"/>
    <w:rsid w:val="001F60F0"/>
    <w:rsid w:val="001F6363"/>
    <w:rsid w:val="001F79FC"/>
    <w:rsid w:val="0020014D"/>
    <w:rsid w:val="002008A5"/>
    <w:rsid w:val="00201216"/>
    <w:rsid w:val="0020504B"/>
    <w:rsid w:val="00207302"/>
    <w:rsid w:val="00211A86"/>
    <w:rsid w:val="00215386"/>
    <w:rsid w:val="00216554"/>
    <w:rsid w:val="00216729"/>
    <w:rsid w:val="00216ADF"/>
    <w:rsid w:val="00217396"/>
    <w:rsid w:val="00217A4F"/>
    <w:rsid w:val="00222343"/>
    <w:rsid w:val="00222EE7"/>
    <w:rsid w:val="00223831"/>
    <w:rsid w:val="00227E88"/>
    <w:rsid w:val="00230BB9"/>
    <w:rsid w:val="00231877"/>
    <w:rsid w:val="002325FF"/>
    <w:rsid w:val="00234BD4"/>
    <w:rsid w:val="002352D3"/>
    <w:rsid w:val="002353BB"/>
    <w:rsid w:val="00235958"/>
    <w:rsid w:val="0024075B"/>
    <w:rsid w:val="002410C3"/>
    <w:rsid w:val="00241A37"/>
    <w:rsid w:val="00243D24"/>
    <w:rsid w:val="002453A9"/>
    <w:rsid w:val="00245894"/>
    <w:rsid w:val="00245DCD"/>
    <w:rsid w:val="002464FE"/>
    <w:rsid w:val="002473E6"/>
    <w:rsid w:val="00247CED"/>
    <w:rsid w:val="00250194"/>
    <w:rsid w:val="00250377"/>
    <w:rsid w:val="00251944"/>
    <w:rsid w:val="0025437C"/>
    <w:rsid w:val="00254AEA"/>
    <w:rsid w:val="002571D4"/>
    <w:rsid w:val="002605CC"/>
    <w:rsid w:val="002623C9"/>
    <w:rsid w:val="0026430D"/>
    <w:rsid w:val="0026485D"/>
    <w:rsid w:val="00264F84"/>
    <w:rsid w:val="00265280"/>
    <w:rsid w:val="0026605D"/>
    <w:rsid w:val="00266303"/>
    <w:rsid w:val="002663F3"/>
    <w:rsid w:val="00267EEB"/>
    <w:rsid w:val="0027301D"/>
    <w:rsid w:val="00273823"/>
    <w:rsid w:val="00273C3D"/>
    <w:rsid w:val="00274CE8"/>
    <w:rsid w:val="00276F63"/>
    <w:rsid w:val="00281A0A"/>
    <w:rsid w:val="0028275D"/>
    <w:rsid w:val="002830D9"/>
    <w:rsid w:val="00285CE5"/>
    <w:rsid w:val="002860EA"/>
    <w:rsid w:val="002872AA"/>
    <w:rsid w:val="00287FB9"/>
    <w:rsid w:val="0029151F"/>
    <w:rsid w:val="00292784"/>
    <w:rsid w:val="00294513"/>
    <w:rsid w:val="00294A72"/>
    <w:rsid w:val="0029593A"/>
    <w:rsid w:val="00296271"/>
    <w:rsid w:val="0029639D"/>
    <w:rsid w:val="002A01B6"/>
    <w:rsid w:val="002A0501"/>
    <w:rsid w:val="002A05B2"/>
    <w:rsid w:val="002A1099"/>
    <w:rsid w:val="002A1EDD"/>
    <w:rsid w:val="002A3D32"/>
    <w:rsid w:val="002A5B90"/>
    <w:rsid w:val="002A5BAC"/>
    <w:rsid w:val="002B2505"/>
    <w:rsid w:val="002B4083"/>
    <w:rsid w:val="002B4230"/>
    <w:rsid w:val="002B44FC"/>
    <w:rsid w:val="002B46E5"/>
    <w:rsid w:val="002B69B7"/>
    <w:rsid w:val="002B783E"/>
    <w:rsid w:val="002B79C3"/>
    <w:rsid w:val="002C0027"/>
    <w:rsid w:val="002C00B4"/>
    <w:rsid w:val="002C090F"/>
    <w:rsid w:val="002C52EA"/>
    <w:rsid w:val="002C67EC"/>
    <w:rsid w:val="002C7FC4"/>
    <w:rsid w:val="002C7FC7"/>
    <w:rsid w:val="002D0673"/>
    <w:rsid w:val="002D22F5"/>
    <w:rsid w:val="002D5EEE"/>
    <w:rsid w:val="002D7614"/>
    <w:rsid w:val="002D779E"/>
    <w:rsid w:val="002E15DC"/>
    <w:rsid w:val="002E446F"/>
    <w:rsid w:val="002E4AC0"/>
    <w:rsid w:val="002E5FC6"/>
    <w:rsid w:val="002E65D9"/>
    <w:rsid w:val="002E7AD5"/>
    <w:rsid w:val="002F04A6"/>
    <w:rsid w:val="002F2ACE"/>
    <w:rsid w:val="002F2FC8"/>
    <w:rsid w:val="002F37AD"/>
    <w:rsid w:val="002F73CE"/>
    <w:rsid w:val="003019BD"/>
    <w:rsid w:val="003020D7"/>
    <w:rsid w:val="0030230D"/>
    <w:rsid w:val="00302C20"/>
    <w:rsid w:val="00303818"/>
    <w:rsid w:val="00307740"/>
    <w:rsid w:val="00307D79"/>
    <w:rsid w:val="00310A0A"/>
    <w:rsid w:val="00311F18"/>
    <w:rsid w:val="00312E2E"/>
    <w:rsid w:val="003147A9"/>
    <w:rsid w:val="00314B2F"/>
    <w:rsid w:val="00315FB1"/>
    <w:rsid w:val="00317168"/>
    <w:rsid w:val="00317863"/>
    <w:rsid w:val="0032024C"/>
    <w:rsid w:val="00322153"/>
    <w:rsid w:val="00322936"/>
    <w:rsid w:val="0032432A"/>
    <w:rsid w:val="00324E69"/>
    <w:rsid w:val="0032696D"/>
    <w:rsid w:val="00326D88"/>
    <w:rsid w:val="00326DC1"/>
    <w:rsid w:val="00326F90"/>
    <w:rsid w:val="00327A4F"/>
    <w:rsid w:val="00331A01"/>
    <w:rsid w:val="00336A55"/>
    <w:rsid w:val="0033786A"/>
    <w:rsid w:val="00337D4B"/>
    <w:rsid w:val="0034296E"/>
    <w:rsid w:val="00344B07"/>
    <w:rsid w:val="00346A25"/>
    <w:rsid w:val="00346E72"/>
    <w:rsid w:val="0034746A"/>
    <w:rsid w:val="00350695"/>
    <w:rsid w:val="003507B8"/>
    <w:rsid w:val="00351B63"/>
    <w:rsid w:val="00354A8D"/>
    <w:rsid w:val="00354AE5"/>
    <w:rsid w:val="00356E47"/>
    <w:rsid w:val="00360815"/>
    <w:rsid w:val="00360CBA"/>
    <w:rsid w:val="003650EF"/>
    <w:rsid w:val="003664A3"/>
    <w:rsid w:val="003665B1"/>
    <w:rsid w:val="00366A91"/>
    <w:rsid w:val="00366DAA"/>
    <w:rsid w:val="0037165D"/>
    <w:rsid w:val="00371E6C"/>
    <w:rsid w:val="00373957"/>
    <w:rsid w:val="00373B9D"/>
    <w:rsid w:val="00384BF4"/>
    <w:rsid w:val="00384CCA"/>
    <w:rsid w:val="003856E7"/>
    <w:rsid w:val="00385F27"/>
    <w:rsid w:val="0039043B"/>
    <w:rsid w:val="00390E30"/>
    <w:rsid w:val="00391A7C"/>
    <w:rsid w:val="00392040"/>
    <w:rsid w:val="003923BB"/>
    <w:rsid w:val="00392625"/>
    <w:rsid w:val="00392974"/>
    <w:rsid w:val="00393DFB"/>
    <w:rsid w:val="00394A49"/>
    <w:rsid w:val="00394B16"/>
    <w:rsid w:val="00394F84"/>
    <w:rsid w:val="00395C47"/>
    <w:rsid w:val="00396D10"/>
    <w:rsid w:val="00397649"/>
    <w:rsid w:val="00397785"/>
    <w:rsid w:val="003979D2"/>
    <w:rsid w:val="003A0104"/>
    <w:rsid w:val="003A0EC3"/>
    <w:rsid w:val="003A1893"/>
    <w:rsid w:val="003A2093"/>
    <w:rsid w:val="003A4291"/>
    <w:rsid w:val="003A4A11"/>
    <w:rsid w:val="003A6517"/>
    <w:rsid w:val="003A6A9C"/>
    <w:rsid w:val="003A7AFA"/>
    <w:rsid w:val="003B1C53"/>
    <w:rsid w:val="003B3935"/>
    <w:rsid w:val="003B4777"/>
    <w:rsid w:val="003B4C13"/>
    <w:rsid w:val="003B4C6B"/>
    <w:rsid w:val="003C3223"/>
    <w:rsid w:val="003C4291"/>
    <w:rsid w:val="003C555D"/>
    <w:rsid w:val="003C56F9"/>
    <w:rsid w:val="003C5840"/>
    <w:rsid w:val="003C7FDD"/>
    <w:rsid w:val="003D0BBC"/>
    <w:rsid w:val="003D2293"/>
    <w:rsid w:val="003D26B4"/>
    <w:rsid w:val="003D3597"/>
    <w:rsid w:val="003D5102"/>
    <w:rsid w:val="003D531F"/>
    <w:rsid w:val="003D5F79"/>
    <w:rsid w:val="003D772C"/>
    <w:rsid w:val="003D7BE8"/>
    <w:rsid w:val="003E0523"/>
    <w:rsid w:val="003E0A48"/>
    <w:rsid w:val="003E1C04"/>
    <w:rsid w:val="003E50B5"/>
    <w:rsid w:val="003E61B4"/>
    <w:rsid w:val="003E6964"/>
    <w:rsid w:val="003E6BF8"/>
    <w:rsid w:val="003E7604"/>
    <w:rsid w:val="003E795A"/>
    <w:rsid w:val="003E7B33"/>
    <w:rsid w:val="003F38D5"/>
    <w:rsid w:val="003F4616"/>
    <w:rsid w:val="003F48CD"/>
    <w:rsid w:val="003F4C25"/>
    <w:rsid w:val="003F7326"/>
    <w:rsid w:val="003F7354"/>
    <w:rsid w:val="0040008D"/>
    <w:rsid w:val="00400A2F"/>
    <w:rsid w:val="00401E81"/>
    <w:rsid w:val="00404331"/>
    <w:rsid w:val="00405266"/>
    <w:rsid w:val="0040616B"/>
    <w:rsid w:val="00406D8F"/>
    <w:rsid w:val="004105E9"/>
    <w:rsid w:val="00411E48"/>
    <w:rsid w:val="00411FFC"/>
    <w:rsid w:val="004125B9"/>
    <w:rsid w:val="00413703"/>
    <w:rsid w:val="00414904"/>
    <w:rsid w:val="004151CC"/>
    <w:rsid w:val="004153BE"/>
    <w:rsid w:val="00415C90"/>
    <w:rsid w:val="00416817"/>
    <w:rsid w:val="00417827"/>
    <w:rsid w:val="00420321"/>
    <w:rsid w:val="00421A71"/>
    <w:rsid w:val="00421AE5"/>
    <w:rsid w:val="00422109"/>
    <w:rsid w:val="0042368B"/>
    <w:rsid w:val="00424442"/>
    <w:rsid w:val="004256B5"/>
    <w:rsid w:val="004304FC"/>
    <w:rsid w:val="00430F79"/>
    <w:rsid w:val="00432B7B"/>
    <w:rsid w:val="00433DD8"/>
    <w:rsid w:val="00436670"/>
    <w:rsid w:val="004373EA"/>
    <w:rsid w:val="00440A5D"/>
    <w:rsid w:val="00440C20"/>
    <w:rsid w:val="00441177"/>
    <w:rsid w:val="0044236F"/>
    <w:rsid w:val="00442A30"/>
    <w:rsid w:val="00445373"/>
    <w:rsid w:val="0044772C"/>
    <w:rsid w:val="00452F9B"/>
    <w:rsid w:val="00453099"/>
    <w:rsid w:val="00454D7D"/>
    <w:rsid w:val="004552BE"/>
    <w:rsid w:val="00456196"/>
    <w:rsid w:val="00456829"/>
    <w:rsid w:val="00461B3F"/>
    <w:rsid w:val="00462C52"/>
    <w:rsid w:val="004630CC"/>
    <w:rsid w:val="00465006"/>
    <w:rsid w:val="00465D1B"/>
    <w:rsid w:val="0046652E"/>
    <w:rsid w:val="004711F8"/>
    <w:rsid w:val="004714FD"/>
    <w:rsid w:val="00471970"/>
    <w:rsid w:val="004722E5"/>
    <w:rsid w:val="00472E03"/>
    <w:rsid w:val="004741F4"/>
    <w:rsid w:val="004753C1"/>
    <w:rsid w:val="00476615"/>
    <w:rsid w:val="0047670A"/>
    <w:rsid w:val="0047681C"/>
    <w:rsid w:val="00480DC9"/>
    <w:rsid w:val="0048182F"/>
    <w:rsid w:val="00481AA4"/>
    <w:rsid w:val="00481E49"/>
    <w:rsid w:val="00481E78"/>
    <w:rsid w:val="00482B6A"/>
    <w:rsid w:val="004833B9"/>
    <w:rsid w:val="00483EAD"/>
    <w:rsid w:val="00483F4B"/>
    <w:rsid w:val="0048448B"/>
    <w:rsid w:val="00484FEE"/>
    <w:rsid w:val="00485311"/>
    <w:rsid w:val="00486076"/>
    <w:rsid w:val="004863A3"/>
    <w:rsid w:val="00486FAB"/>
    <w:rsid w:val="00492CDF"/>
    <w:rsid w:val="0049400C"/>
    <w:rsid w:val="00494861"/>
    <w:rsid w:val="0049553E"/>
    <w:rsid w:val="00495627"/>
    <w:rsid w:val="004960F5"/>
    <w:rsid w:val="00496203"/>
    <w:rsid w:val="004A3A18"/>
    <w:rsid w:val="004B0112"/>
    <w:rsid w:val="004B0A7A"/>
    <w:rsid w:val="004B0FAD"/>
    <w:rsid w:val="004B1B38"/>
    <w:rsid w:val="004B1BBA"/>
    <w:rsid w:val="004B1D04"/>
    <w:rsid w:val="004B25EB"/>
    <w:rsid w:val="004B3F45"/>
    <w:rsid w:val="004B4CDD"/>
    <w:rsid w:val="004B4FC4"/>
    <w:rsid w:val="004B5562"/>
    <w:rsid w:val="004B6123"/>
    <w:rsid w:val="004B6D6E"/>
    <w:rsid w:val="004B7498"/>
    <w:rsid w:val="004B7C1A"/>
    <w:rsid w:val="004B7D97"/>
    <w:rsid w:val="004C0554"/>
    <w:rsid w:val="004C13F9"/>
    <w:rsid w:val="004C29EC"/>
    <w:rsid w:val="004C39C6"/>
    <w:rsid w:val="004C549B"/>
    <w:rsid w:val="004C6003"/>
    <w:rsid w:val="004C67F3"/>
    <w:rsid w:val="004C7B4E"/>
    <w:rsid w:val="004D1015"/>
    <w:rsid w:val="004D16D7"/>
    <w:rsid w:val="004D197C"/>
    <w:rsid w:val="004D214C"/>
    <w:rsid w:val="004D39E0"/>
    <w:rsid w:val="004D4DAE"/>
    <w:rsid w:val="004D7E29"/>
    <w:rsid w:val="004E0143"/>
    <w:rsid w:val="004E06A3"/>
    <w:rsid w:val="004E1B13"/>
    <w:rsid w:val="004E1CF7"/>
    <w:rsid w:val="004E1FB7"/>
    <w:rsid w:val="004E32CE"/>
    <w:rsid w:val="004E330F"/>
    <w:rsid w:val="004E4902"/>
    <w:rsid w:val="004E4CE3"/>
    <w:rsid w:val="004E4F0F"/>
    <w:rsid w:val="004E5156"/>
    <w:rsid w:val="004E58AD"/>
    <w:rsid w:val="004E5ABD"/>
    <w:rsid w:val="004E64ED"/>
    <w:rsid w:val="004F1448"/>
    <w:rsid w:val="004F242A"/>
    <w:rsid w:val="004F265D"/>
    <w:rsid w:val="004F33A0"/>
    <w:rsid w:val="004F690B"/>
    <w:rsid w:val="0050047C"/>
    <w:rsid w:val="0050067C"/>
    <w:rsid w:val="005008AB"/>
    <w:rsid w:val="005014C4"/>
    <w:rsid w:val="00502592"/>
    <w:rsid w:val="0050559B"/>
    <w:rsid w:val="00506474"/>
    <w:rsid w:val="00507749"/>
    <w:rsid w:val="00510234"/>
    <w:rsid w:val="00510EC9"/>
    <w:rsid w:val="00511846"/>
    <w:rsid w:val="00512719"/>
    <w:rsid w:val="0051320D"/>
    <w:rsid w:val="00514FC8"/>
    <w:rsid w:val="00517760"/>
    <w:rsid w:val="00517A47"/>
    <w:rsid w:val="005211A8"/>
    <w:rsid w:val="00522828"/>
    <w:rsid w:val="0052294D"/>
    <w:rsid w:val="005252B8"/>
    <w:rsid w:val="005253C2"/>
    <w:rsid w:val="00525EFD"/>
    <w:rsid w:val="00527069"/>
    <w:rsid w:val="00527204"/>
    <w:rsid w:val="00531E61"/>
    <w:rsid w:val="0053216D"/>
    <w:rsid w:val="00532428"/>
    <w:rsid w:val="0053498D"/>
    <w:rsid w:val="00537444"/>
    <w:rsid w:val="0054064B"/>
    <w:rsid w:val="005411B6"/>
    <w:rsid w:val="00546C51"/>
    <w:rsid w:val="00547139"/>
    <w:rsid w:val="0055009B"/>
    <w:rsid w:val="005502FB"/>
    <w:rsid w:val="005503BF"/>
    <w:rsid w:val="00550536"/>
    <w:rsid w:val="005520AC"/>
    <w:rsid w:val="00554CDF"/>
    <w:rsid w:val="00555882"/>
    <w:rsid w:val="005577B7"/>
    <w:rsid w:val="00562B3A"/>
    <w:rsid w:val="00562F8B"/>
    <w:rsid w:val="00563F79"/>
    <w:rsid w:val="00566F23"/>
    <w:rsid w:val="005711CE"/>
    <w:rsid w:val="00572669"/>
    <w:rsid w:val="00572E83"/>
    <w:rsid w:val="00575449"/>
    <w:rsid w:val="005772AA"/>
    <w:rsid w:val="00581A57"/>
    <w:rsid w:val="00581E5E"/>
    <w:rsid w:val="0058241F"/>
    <w:rsid w:val="00583864"/>
    <w:rsid w:val="0058427F"/>
    <w:rsid w:val="00585218"/>
    <w:rsid w:val="0058636B"/>
    <w:rsid w:val="00587321"/>
    <w:rsid w:val="005875E0"/>
    <w:rsid w:val="005875E6"/>
    <w:rsid w:val="00587688"/>
    <w:rsid w:val="00590753"/>
    <w:rsid w:val="0059145B"/>
    <w:rsid w:val="00594DA9"/>
    <w:rsid w:val="005963C0"/>
    <w:rsid w:val="005974CA"/>
    <w:rsid w:val="005A056F"/>
    <w:rsid w:val="005A10C1"/>
    <w:rsid w:val="005A1AF3"/>
    <w:rsid w:val="005A31BB"/>
    <w:rsid w:val="005A4ED2"/>
    <w:rsid w:val="005A5148"/>
    <w:rsid w:val="005A6A22"/>
    <w:rsid w:val="005A6AE3"/>
    <w:rsid w:val="005A7043"/>
    <w:rsid w:val="005A745C"/>
    <w:rsid w:val="005A778B"/>
    <w:rsid w:val="005A7B9E"/>
    <w:rsid w:val="005B0E38"/>
    <w:rsid w:val="005B1D70"/>
    <w:rsid w:val="005B22B9"/>
    <w:rsid w:val="005B36AC"/>
    <w:rsid w:val="005B4EF6"/>
    <w:rsid w:val="005B5938"/>
    <w:rsid w:val="005B7145"/>
    <w:rsid w:val="005B7345"/>
    <w:rsid w:val="005C0AD9"/>
    <w:rsid w:val="005C4640"/>
    <w:rsid w:val="005C50C4"/>
    <w:rsid w:val="005C6A02"/>
    <w:rsid w:val="005C7063"/>
    <w:rsid w:val="005C71F7"/>
    <w:rsid w:val="005C780C"/>
    <w:rsid w:val="005C7DFB"/>
    <w:rsid w:val="005D06C9"/>
    <w:rsid w:val="005D0EB3"/>
    <w:rsid w:val="005D1023"/>
    <w:rsid w:val="005D1B30"/>
    <w:rsid w:val="005D7124"/>
    <w:rsid w:val="005D7824"/>
    <w:rsid w:val="005E0D5E"/>
    <w:rsid w:val="005E1054"/>
    <w:rsid w:val="005E190F"/>
    <w:rsid w:val="005E22C1"/>
    <w:rsid w:val="005E2A87"/>
    <w:rsid w:val="005E4223"/>
    <w:rsid w:val="005E5172"/>
    <w:rsid w:val="005E524D"/>
    <w:rsid w:val="005E6AB8"/>
    <w:rsid w:val="005E6D11"/>
    <w:rsid w:val="005E723A"/>
    <w:rsid w:val="005E7557"/>
    <w:rsid w:val="005E7A6D"/>
    <w:rsid w:val="005E7C6D"/>
    <w:rsid w:val="005E7D73"/>
    <w:rsid w:val="005F081A"/>
    <w:rsid w:val="005F1CBA"/>
    <w:rsid w:val="005F31D4"/>
    <w:rsid w:val="005F356C"/>
    <w:rsid w:val="005F39BA"/>
    <w:rsid w:val="005F3C71"/>
    <w:rsid w:val="005F409A"/>
    <w:rsid w:val="005F4577"/>
    <w:rsid w:val="005F5849"/>
    <w:rsid w:val="00600B90"/>
    <w:rsid w:val="00602493"/>
    <w:rsid w:val="0060351F"/>
    <w:rsid w:val="00603DB4"/>
    <w:rsid w:val="00603E2D"/>
    <w:rsid w:val="00604467"/>
    <w:rsid w:val="00604FAB"/>
    <w:rsid w:val="006051C0"/>
    <w:rsid w:val="00606E77"/>
    <w:rsid w:val="006107FA"/>
    <w:rsid w:val="00610D89"/>
    <w:rsid w:val="00610EE7"/>
    <w:rsid w:val="006121FD"/>
    <w:rsid w:val="00613064"/>
    <w:rsid w:val="006165D1"/>
    <w:rsid w:val="00616B3E"/>
    <w:rsid w:val="00616CF6"/>
    <w:rsid w:val="00621274"/>
    <w:rsid w:val="00621EE5"/>
    <w:rsid w:val="00622930"/>
    <w:rsid w:val="0062302A"/>
    <w:rsid w:val="00623E0F"/>
    <w:rsid w:val="00624155"/>
    <w:rsid w:val="00627BF7"/>
    <w:rsid w:val="00630242"/>
    <w:rsid w:val="0063114B"/>
    <w:rsid w:val="006334DD"/>
    <w:rsid w:val="00633AD6"/>
    <w:rsid w:val="00634345"/>
    <w:rsid w:val="006356FE"/>
    <w:rsid w:val="006363C5"/>
    <w:rsid w:val="00637711"/>
    <w:rsid w:val="0064146E"/>
    <w:rsid w:val="006419C7"/>
    <w:rsid w:val="00644213"/>
    <w:rsid w:val="00644684"/>
    <w:rsid w:val="00644F8F"/>
    <w:rsid w:val="00652281"/>
    <w:rsid w:val="00653020"/>
    <w:rsid w:val="0065437B"/>
    <w:rsid w:val="006547C9"/>
    <w:rsid w:val="00655D03"/>
    <w:rsid w:val="00656D55"/>
    <w:rsid w:val="006607AB"/>
    <w:rsid w:val="00660E4C"/>
    <w:rsid w:val="00660EF0"/>
    <w:rsid w:val="0066199E"/>
    <w:rsid w:val="0066240E"/>
    <w:rsid w:val="00662936"/>
    <w:rsid w:val="00664E3A"/>
    <w:rsid w:val="006664D0"/>
    <w:rsid w:val="00671774"/>
    <w:rsid w:val="006721AF"/>
    <w:rsid w:val="00672254"/>
    <w:rsid w:val="006736BA"/>
    <w:rsid w:val="006736D9"/>
    <w:rsid w:val="006755C8"/>
    <w:rsid w:val="006811FB"/>
    <w:rsid w:val="00681797"/>
    <w:rsid w:val="0068299C"/>
    <w:rsid w:val="00682CA3"/>
    <w:rsid w:val="0068557F"/>
    <w:rsid w:val="0068638D"/>
    <w:rsid w:val="00693E7D"/>
    <w:rsid w:val="006948FB"/>
    <w:rsid w:val="00697849"/>
    <w:rsid w:val="0069794C"/>
    <w:rsid w:val="00697A5C"/>
    <w:rsid w:val="006A0DB0"/>
    <w:rsid w:val="006A2F20"/>
    <w:rsid w:val="006A3CEE"/>
    <w:rsid w:val="006A4B55"/>
    <w:rsid w:val="006A6D40"/>
    <w:rsid w:val="006A7743"/>
    <w:rsid w:val="006B02A3"/>
    <w:rsid w:val="006B18E9"/>
    <w:rsid w:val="006B3168"/>
    <w:rsid w:val="006B3531"/>
    <w:rsid w:val="006B4C1C"/>
    <w:rsid w:val="006B50AE"/>
    <w:rsid w:val="006B5239"/>
    <w:rsid w:val="006B581B"/>
    <w:rsid w:val="006B5D3A"/>
    <w:rsid w:val="006B6949"/>
    <w:rsid w:val="006B7F54"/>
    <w:rsid w:val="006C15AA"/>
    <w:rsid w:val="006C34F4"/>
    <w:rsid w:val="006D083F"/>
    <w:rsid w:val="006D5C8A"/>
    <w:rsid w:val="006E09F8"/>
    <w:rsid w:val="006E1ACF"/>
    <w:rsid w:val="006E3CB3"/>
    <w:rsid w:val="006E51F9"/>
    <w:rsid w:val="006E6236"/>
    <w:rsid w:val="006E7395"/>
    <w:rsid w:val="006F0AB2"/>
    <w:rsid w:val="006F4312"/>
    <w:rsid w:val="006F5E70"/>
    <w:rsid w:val="006F6892"/>
    <w:rsid w:val="006F7E7A"/>
    <w:rsid w:val="006F7F4F"/>
    <w:rsid w:val="00701518"/>
    <w:rsid w:val="0070221B"/>
    <w:rsid w:val="00706224"/>
    <w:rsid w:val="007065FE"/>
    <w:rsid w:val="00706957"/>
    <w:rsid w:val="00706B91"/>
    <w:rsid w:val="00707688"/>
    <w:rsid w:val="007076F2"/>
    <w:rsid w:val="00710623"/>
    <w:rsid w:val="00712EA6"/>
    <w:rsid w:val="007136C5"/>
    <w:rsid w:val="00715181"/>
    <w:rsid w:val="00716AE2"/>
    <w:rsid w:val="00717009"/>
    <w:rsid w:val="00717D47"/>
    <w:rsid w:val="00723302"/>
    <w:rsid w:val="00723AB0"/>
    <w:rsid w:val="0072740D"/>
    <w:rsid w:val="00727748"/>
    <w:rsid w:val="00727930"/>
    <w:rsid w:val="00730581"/>
    <w:rsid w:val="00730878"/>
    <w:rsid w:val="00730DA3"/>
    <w:rsid w:val="0073304B"/>
    <w:rsid w:val="00735248"/>
    <w:rsid w:val="0073630C"/>
    <w:rsid w:val="00737F79"/>
    <w:rsid w:val="00741C42"/>
    <w:rsid w:val="00743654"/>
    <w:rsid w:val="00744454"/>
    <w:rsid w:val="00744D19"/>
    <w:rsid w:val="00744E45"/>
    <w:rsid w:val="0074596B"/>
    <w:rsid w:val="00752E6A"/>
    <w:rsid w:val="007539B7"/>
    <w:rsid w:val="00756700"/>
    <w:rsid w:val="00761A3D"/>
    <w:rsid w:val="00761ADB"/>
    <w:rsid w:val="00763818"/>
    <w:rsid w:val="00763D86"/>
    <w:rsid w:val="00765159"/>
    <w:rsid w:val="0076774A"/>
    <w:rsid w:val="00767F7F"/>
    <w:rsid w:val="00771444"/>
    <w:rsid w:val="007723BF"/>
    <w:rsid w:val="0077248B"/>
    <w:rsid w:val="00773282"/>
    <w:rsid w:val="0077474F"/>
    <w:rsid w:val="00774E7E"/>
    <w:rsid w:val="00777352"/>
    <w:rsid w:val="0078061B"/>
    <w:rsid w:val="00780848"/>
    <w:rsid w:val="00782A19"/>
    <w:rsid w:val="00782DD2"/>
    <w:rsid w:val="00784848"/>
    <w:rsid w:val="00784B71"/>
    <w:rsid w:val="00786B40"/>
    <w:rsid w:val="007870D2"/>
    <w:rsid w:val="007876F7"/>
    <w:rsid w:val="007914EF"/>
    <w:rsid w:val="00792829"/>
    <w:rsid w:val="007959E2"/>
    <w:rsid w:val="00795EC4"/>
    <w:rsid w:val="0079659F"/>
    <w:rsid w:val="0079660B"/>
    <w:rsid w:val="0079769F"/>
    <w:rsid w:val="00797766"/>
    <w:rsid w:val="007A0DFE"/>
    <w:rsid w:val="007A193D"/>
    <w:rsid w:val="007A2234"/>
    <w:rsid w:val="007A4747"/>
    <w:rsid w:val="007A4B18"/>
    <w:rsid w:val="007A658C"/>
    <w:rsid w:val="007B08A9"/>
    <w:rsid w:val="007B1F20"/>
    <w:rsid w:val="007B232C"/>
    <w:rsid w:val="007B330C"/>
    <w:rsid w:val="007B34CB"/>
    <w:rsid w:val="007B3AAC"/>
    <w:rsid w:val="007B3DB6"/>
    <w:rsid w:val="007B41E9"/>
    <w:rsid w:val="007B5E31"/>
    <w:rsid w:val="007C1D56"/>
    <w:rsid w:val="007C2D94"/>
    <w:rsid w:val="007C4903"/>
    <w:rsid w:val="007C513B"/>
    <w:rsid w:val="007C59C8"/>
    <w:rsid w:val="007C6FDC"/>
    <w:rsid w:val="007C7E57"/>
    <w:rsid w:val="007D0749"/>
    <w:rsid w:val="007D41CB"/>
    <w:rsid w:val="007D4AA6"/>
    <w:rsid w:val="007D5576"/>
    <w:rsid w:val="007D603C"/>
    <w:rsid w:val="007D7FA4"/>
    <w:rsid w:val="007E41A9"/>
    <w:rsid w:val="007E5EE8"/>
    <w:rsid w:val="007E6117"/>
    <w:rsid w:val="007E6414"/>
    <w:rsid w:val="007E6FD1"/>
    <w:rsid w:val="007F1543"/>
    <w:rsid w:val="007F3148"/>
    <w:rsid w:val="007F3CD3"/>
    <w:rsid w:val="007F510F"/>
    <w:rsid w:val="007F57DF"/>
    <w:rsid w:val="007F5EA2"/>
    <w:rsid w:val="007F6126"/>
    <w:rsid w:val="007F67E4"/>
    <w:rsid w:val="007F6B58"/>
    <w:rsid w:val="007F6F1B"/>
    <w:rsid w:val="007F7345"/>
    <w:rsid w:val="00800436"/>
    <w:rsid w:val="00803EDD"/>
    <w:rsid w:val="00804BDA"/>
    <w:rsid w:val="00804FAC"/>
    <w:rsid w:val="00806187"/>
    <w:rsid w:val="0080638B"/>
    <w:rsid w:val="00807541"/>
    <w:rsid w:val="00810DE0"/>
    <w:rsid w:val="00812681"/>
    <w:rsid w:val="00815443"/>
    <w:rsid w:val="00815554"/>
    <w:rsid w:val="00815EED"/>
    <w:rsid w:val="00816F30"/>
    <w:rsid w:val="008170AF"/>
    <w:rsid w:val="008179B5"/>
    <w:rsid w:val="00821226"/>
    <w:rsid w:val="00821AF8"/>
    <w:rsid w:val="00821BF8"/>
    <w:rsid w:val="00823D6C"/>
    <w:rsid w:val="008246BE"/>
    <w:rsid w:val="0082766C"/>
    <w:rsid w:val="00831B99"/>
    <w:rsid w:val="0083275B"/>
    <w:rsid w:val="008338AE"/>
    <w:rsid w:val="00833A26"/>
    <w:rsid w:val="00833D74"/>
    <w:rsid w:val="00833E8D"/>
    <w:rsid w:val="00835D7A"/>
    <w:rsid w:val="0083620E"/>
    <w:rsid w:val="00836231"/>
    <w:rsid w:val="00836F0F"/>
    <w:rsid w:val="00837552"/>
    <w:rsid w:val="00837769"/>
    <w:rsid w:val="008407A3"/>
    <w:rsid w:val="008420EB"/>
    <w:rsid w:val="008432DE"/>
    <w:rsid w:val="00843F6B"/>
    <w:rsid w:val="00843F81"/>
    <w:rsid w:val="00844804"/>
    <w:rsid w:val="00845D19"/>
    <w:rsid w:val="0084619E"/>
    <w:rsid w:val="00846844"/>
    <w:rsid w:val="00850733"/>
    <w:rsid w:val="008514E4"/>
    <w:rsid w:val="00851570"/>
    <w:rsid w:val="008543C0"/>
    <w:rsid w:val="00855BDE"/>
    <w:rsid w:val="00860807"/>
    <w:rsid w:val="00861932"/>
    <w:rsid w:val="00861F2F"/>
    <w:rsid w:val="00862B42"/>
    <w:rsid w:val="0086459E"/>
    <w:rsid w:val="00864A6B"/>
    <w:rsid w:val="00865518"/>
    <w:rsid w:val="00865D81"/>
    <w:rsid w:val="00866026"/>
    <w:rsid w:val="00870273"/>
    <w:rsid w:val="008702AF"/>
    <w:rsid w:val="00870B9F"/>
    <w:rsid w:val="00871DE4"/>
    <w:rsid w:val="00871ED3"/>
    <w:rsid w:val="008721E6"/>
    <w:rsid w:val="00873405"/>
    <w:rsid w:val="0087372F"/>
    <w:rsid w:val="008744BF"/>
    <w:rsid w:val="00874599"/>
    <w:rsid w:val="008749F4"/>
    <w:rsid w:val="00874AF6"/>
    <w:rsid w:val="00876A47"/>
    <w:rsid w:val="008774FA"/>
    <w:rsid w:val="0088188F"/>
    <w:rsid w:val="00882324"/>
    <w:rsid w:val="00884177"/>
    <w:rsid w:val="00884739"/>
    <w:rsid w:val="00884C9F"/>
    <w:rsid w:val="00884DE2"/>
    <w:rsid w:val="00885709"/>
    <w:rsid w:val="00892227"/>
    <w:rsid w:val="00892229"/>
    <w:rsid w:val="00894856"/>
    <w:rsid w:val="00894882"/>
    <w:rsid w:val="008950E5"/>
    <w:rsid w:val="0089572E"/>
    <w:rsid w:val="00895C3C"/>
    <w:rsid w:val="00897350"/>
    <w:rsid w:val="008A277C"/>
    <w:rsid w:val="008A3A4E"/>
    <w:rsid w:val="008A425E"/>
    <w:rsid w:val="008A45AE"/>
    <w:rsid w:val="008B0135"/>
    <w:rsid w:val="008B095D"/>
    <w:rsid w:val="008B618A"/>
    <w:rsid w:val="008C0098"/>
    <w:rsid w:val="008C0424"/>
    <w:rsid w:val="008C0C4C"/>
    <w:rsid w:val="008C110B"/>
    <w:rsid w:val="008C1368"/>
    <w:rsid w:val="008C2579"/>
    <w:rsid w:val="008C45DE"/>
    <w:rsid w:val="008C4B99"/>
    <w:rsid w:val="008C5C21"/>
    <w:rsid w:val="008C6F75"/>
    <w:rsid w:val="008D1581"/>
    <w:rsid w:val="008D178A"/>
    <w:rsid w:val="008D190E"/>
    <w:rsid w:val="008D24D2"/>
    <w:rsid w:val="008D24E9"/>
    <w:rsid w:val="008D3F01"/>
    <w:rsid w:val="008D4063"/>
    <w:rsid w:val="008D4751"/>
    <w:rsid w:val="008D4A46"/>
    <w:rsid w:val="008D4EBC"/>
    <w:rsid w:val="008D4FE4"/>
    <w:rsid w:val="008D5D3D"/>
    <w:rsid w:val="008D5DF2"/>
    <w:rsid w:val="008D69CC"/>
    <w:rsid w:val="008D7255"/>
    <w:rsid w:val="008D7DF9"/>
    <w:rsid w:val="008E1FE3"/>
    <w:rsid w:val="008E3B54"/>
    <w:rsid w:val="008E3FBC"/>
    <w:rsid w:val="008E454B"/>
    <w:rsid w:val="008E5A35"/>
    <w:rsid w:val="008F06BB"/>
    <w:rsid w:val="008F0ADB"/>
    <w:rsid w:val="008F205C"/>
    <w:rsid w:val="008F2150"/>
    <w:rsid w:val="008F39EC"/>
    <w:rsid w:val="008F5BC0"/>
    <w:rsid w:val="008F5F34"/>
    <w:rsid w:val="008F68EE"/>
    <w:rsid w:val="008F7F8B"/>
    <w:rsid w:val="0090221A"/>
    <w:rsid w:val="009031D5"/>
    <w:rsid w:val="00903382"/>
    <w:rsid w:val="00904BC4"/>
    <w:rsid w:val="00907200"/>
    <w:rsid w:val="0090790C"/>
    <w:rsid w:val="00907AAC"/>
    <w:rsid w:val="00907AF5"/>
    <w:rsid w:val="009101B7"/>
    <w:rsid w:val="009103D4"/>
    <w:rsid w:val="009119A6"/>
    <w:rsid w:val="00911C13"/>
    <w:rsid w:val="0091373F"/>
    <w:rsid w:val="00913817"/>
    <w:rsid w:val="00913CBA"/>
    <w:rsid w:val="00914289"/>
    <w:rsid w:val="0091521F"/>
    <w:rsid w:val="009202A0"/>
    <w:rsid w:val="009220FD"/>
    <w:rsid w:val="00923133"/>
    <w:rsid w:val="00924109"/>
    <w:rsid w:val="009261B9"/>
    <w:rsid w:val="0092627A"/>
    <w:rsid w:val="009269DA"/>
    <w:rsid w:val="00927345"/>
    <w:rsid w:val="009274AE"/>
    <w:rsid w:val="00927DB1"/>
    <w:rsid w:val="00930C8E"/>
    <w:rsid w:val="00931734"/>
    <w:rsid w:val="00932C48"/>
    <w:rsid w:val="009331F4"/>
    <w:rsid w:val="009339DC"/>
    <w:rsid w:val="009363BC"/>
    <w:rsid w:val="009372CB"/>
    <w:rsid w:val="00937349"/>
    <w:rsid w:val="009373D5"/>
    <w:rsid w:val="00937E7D"/>
    <w:rsid w:val="00940A9E"/>
    <w:rsid w:val="00941B68"/>
    <w:rsid w:val="00944803"/>
    <w:rsid w:val="00945606"/>
    <w:rsid w:val="00945C6E"/>
    <w:rsid w:val="00946630"/>
    <w:rsid w:val="009473B1"/>
    <w:rsid w:val="0094744A"/>
    <w:rsid w:val="00950F5A"/>
    <w:rsid w:val="00951657"/>
    <w:rsid w:val="00951D77"/>
    <w:rsid w:val="00955ABC"/>
    <w:rsid w:val="00962A14"/>
    <w:rsid w:val="0096357B"/>
    <w:rsid w:val="00963DD0"/>
    <w:rsid w:val="009641D6"/>
    <w:rsid w:val="00964CB6"/>
    <w:rsid w:val="0096510D"/>
    <w:rsid w:val="009652F8"/>
    <w:rsid w:val="009659A7"/>
    <w:rsid w:val="00966928"/>
    <w:rsid w:val="00966BE3"/>
    <w:rsid w:val="0097191F"/>
    <w:rsid w:val="00971FEB"/>
    <w:rsid w:val="00973D22"/>
    <w:rsid w:val="00973DE6"/>
    <w:rsid w:val="009747F9"/>
    <w:rsid w:val="009756E4"/>
    <w:rsid w:val="00976311"/>
    <w:rsid w:val="00976DC4"/>
    <w:rsid w:val="0098024E"/>
    <w:rsid w:val="0098266C"/>
    <w:rsid w:val="0098395C"/>
    <w:rsid w:val="009839AA"/>
    <w:rsid w:val="009843A1"/>
    <w:rsid w:val="00986A7A"/>
    <w:rsid w:val="00990B42"/>
    <w:rsid w:val="009914B6"/>
    <w:rsid w:val="00991C6D"/>
    <w:rsid w:val="00992BC7"/>
    <w:rsid w:val="00992F59"/>
    <w:rsid w:val="00993701"/>
    <w:rsid w:val="00993A57"/>
    <w:rsid w:val="00994F83"/>
    <w:rsid w:val="00995502"/>
    <w:rsid w:val="0099709D"/>
    <w:rsid w:val="009978FD"/>
    <w:rsid w:val="00997A87"/>
    <w:rsid w:val="009A0810"/>
    <w:rsid w:val="009A1735"/>
    <w:rsid w:val="009A1CAC"/>
    <w:rsid w:val="009A4AC8"/>
    <w:rsid w:val="009A60D5"/>
    <w:rsid w:val="009A6A32"/>
    <w:rsid w:val="009A74E5"/>
    <w:rsid w:val="009B19A0"/>
    <w:rsid w:val="009B2371"/>
    <w:rsid w:val="009B3EA5"/>
    <w:rsid w:val="009B4085"/>
    <w:rsid w:val="009B4D40"/>
    <w:rsid w:val="009B6062"/>
    <w:rsid w:val="009B7C35"/>
    <w:rsid w:val="009C011B"/>
    <w:rsid w:val="009C041E"/>
    <w:rsid w:val="009C1663"/>
    <w:rsid w:val="009C1FEC"/>
    <w:rsid w:val="009C32E1"/>
    <w:rsid w:val="009C376A"/>
    <w:rsid w:val="009C46AA"/>
    <w:rsid w:val="009C51DD"/>
    <w:rsid w:val="009C5B20"/>
    <w:rsid w:val="009C6439"/>
    <w:rsid w:val="009C6A6A"/>
    <w:rsid w:val="009D0143"/>
    <w:rsid w:val="009D261A"/>
    <w:rsid w:val="009D2A0B"/>
    <w:rsid w:val="009D2EA2"/>
    <w:rsid w:val="009D3054"/>
    <w:rsid w:val="009D3A17"/>
    <w:rsid w:val="009D509C"/>
    <w:rsid w:val="009D7F63"/>
    <w:rsid w:val="009E0AFA"/>
    <w:rsid w:val="009E1646"/>
    <w:rsid w:val="009E2C4B"/>
    <w:rsid w:val="009E68B4"/>
    <w:rsid w:val="009E79D2"/>
    <w:rsid w:val="009F047E"/>
    <w:rsid w:val="009F04F0"/>
    <w:rsid w:val="009F055D"/>
    <w:rsid w:val="009F1017"/>
    <w:rsid w:val="009F1214"/>
    <w:rsid w:val="009F2E65"/>
    <w:rsid w:val="009F4BDF"/>
    <w:rsid w:val="00A00C5B"/>
    <w:rsid w:val="00A00D00"/>
    <w:rsid w:val="00A0129D"/>
    <w:rsid w:val="00A02A31"/>
    <w:rsid w:val="00A03890"/>
    <w:rsid w:val="00A05833"/>
    <w:rsid w:val="00A06D36"/>
    <w:rsid w:val="00A1083A"/>
    <w:rsid w:val="00A1238E"/>
    <w:rsid w:val="00A12D23"/>
    <w:rsid w:val="00A13C9A"/>
    <w:rsid w:val="00A13EFF"/>
    <w:rsid w:val="00A1574E"/>
    <w:rsid w:val="00A20CF8"/>
    <w:rsid w:val="00A20DF5"/>
    <w:rsid w:val="00A21457"/>
    <w:rsid w:val="00A261E4"/>
    <w:rsid w:val="00A26C40"/>
    <w:rsid w:val="00A27068"/>
    <w:rsid w:val="00A311EE"/>
    <w:rsid w:val="00A3120E"/>
    <w:rsid w:val="00A3160F"/>
    <w:rsid w:val="00A3162A"/>
    <w:rsid w:val="00A32814"/>
    <w:rsid w:val="00A34489"/>
    <w:rsid w:val="00A35948"/>
    <w:rsid w:val="00A35F44"/>
    <w:rsid w:val="00A36324"/>
    <w:rsid w:val="00A36779"/>
    <w:rsid w:val="00A36CE7"/>
    <w:rsid w:val="00A36EB2"/>
    <w:rsid w:val="00A37050"/>
    <w:rsid w:val="00A41BD3"/>
    <w:rsid w:val="00A43B35"/>
    <w:rsid w:val="00A43C97"/>
    <w:rsid w:val="00A44403"/>
    <w:rsid w:val="00A44537"/>
    <w:rsid w:val="00A44EFE"/>
    <w:rsid w:val="00A504C3"/>
    <w:rsid w:val="00A52738"/>
    <w:rsid w:val="00A54EEB"/>
    <w:rsid w:val="00A60E79"/>
    <w:rsid w:val="00A63609"/>
    <w:rsid w:val="00A63E26"/>
    <w:rsid w:val="00A63FB1"/>
    <w:rsid w:val="00A65F0C"/>
    <w:rsid w:val="00A674EB"/>
    <w:rsid w:val="00A67579"/>
    <w:rsid w:val="00A67D41"/>
    <w:rsid w:val="00A70377"/>
    <w:rsid w:val="00A70A3B"/>
    <w:rsid w:val="00A70C1D"/>
    <w:rsid w:val="00A710D8"/>
    <w:rsid w:val="00A719AA"/>
    <w:rsid w:val="00A723F7"/>
    <w:rsid w:val="00A7364D"/>
    <w:rsid w:val="00A736D8"/>
    <w:rsid w:val="00A73913"/>
    <w:rsid w:val="00A7416D"/>
    <w:rsid w:val="00A741ED"/>
    <w:rsid w:val="00A755CE"/>
    <w:rsid w:val="00A7606F"/>
    <w:rsid w:val="00A76FEC"/>
    <w:rsid w:val="00A771E2"/>
    <w:rsid w:val="00A8142F"/>
    <w:rsid w:val="00A825D5"/>
    <w:rsid w:val="00A82685"/>
    <w:rsid w:val="00A8435D"/>
    <w:rsid w:val="00A864B0"/>
    <w:rsid w:val="00A8673E"/>
    <w:rsid w:val="00A8689D"/>
    <w:rsid w:val="00A869A4"/>
    <w:rsid w:val="00A90164"/>
    <w:rsid w:val="00A910D9"/>
    <w:rsid w:val="00A91F06"/>
    <w:rsid w:val="00A93B5F"/>
    <w:rsid w:val="00A93E54"/>
    <w:rsid w:val="00A95495"/>
    <w:rsid w:val="00A964F7"/>
    <w:rsid w:val="00A97573"/>
    <w:rsid w:val="00A9775F"/>
    <w:rsid w:val="00A977B1"/>
    <w:rsid w:val="00A978D1"/>
    <w:rsid w:val="00AA06AB"/>
    <w:rsid w:val="00AA1D8D"/>
    <w:rsid w:val="00AA3AEE"/>
    <w:rsid w:val="00AA4846"/>
    <w:rsid w:val="00AA4CAD"/>
    <w:rsid w:val="00AA5F1A"/>
    <w:rsid w:val="00AA67B0"/>
    <w:rsid w:val="00AB0783"/>
    <w:rsid w:val="00AB081D"/>
    <w:rsid w:val="00AB1AC1"/>
    <w:rsid w:val="00AB2872"/>
    <w:rsid w:val="00AB4345"/>
    <w:rsid w:val="00AB4D3C"/>
    <w:rsid w:val="00AB61EE"/>
    <w:rsid w:val="00AB649E"/>
    <w:rsid w:val="00AB75BB"/>
    <w:rsid w:val="00AC0906"/>
    <w:rsid w:val="00AC15CB"/>
    <w:rsid w:val="00AC285B"/>
    <w:rsid w:val="00AC2979"/>
    <w:rsid w:val="00AC3631"/>
    <w:rsid w:val="00AC4E27"/>
    <w:rsid w:val="00AC5741"/>
    <w:rsid w:val="00AD075E"/>
    <w:rsid w:val="00AD17EA"/>
    <w:rsid w:val="00AD3317"/>
    <w:rsid w:val="00AD349E"/>
    <w:rsid w:val="00AD3FBD"/>
    <w:rsid w:val="00AD4301"/>
    <w:rsid w:val="00AD5A80"/>
    <w:rsid w:val="00AD6349"/>
    <w:rsid w:val="00AD684E"/>
    <w:rsid w:val="00AD69B2"/>
    <w:rsid w:val="00AD7169"/>
    <w:rsid w:val="00AD73D2"/>
    <w:rsid w:val="00AD7BD7"/>
    <w:rsid w:val="00AE13D0"/>
    <w:rsid w:val="00AE4608"/>
    <w:rsid w:val="00AE7F0B"/>
    <w:rsid w:val="00AF1497"/>
    <w:rsid w:val="00AF1F99"/>
    <w:rsid w:val="00AF389B"/>
    <w:rsid w:val="00AF483C"/>
    <w:rsid w:val="00AF5020"/>
    <w:rsid w:val="00AF6339"/>
    <w:rsid w:val="00B0000C"/>
    <w:rsid w:val="00B01B67"/>
    <w:rsid w:val="00B01E76"/>
    <w:rsid w:val="00B0259E"/>
    <w:rsid w:val="00B036D0"/>
    <w:rsid w:val="00B040FF"/>
    <w:rsid w:val="00B04875"/>
    <w:rsid w:val="00B054D7"/>
    <w:rsid w:val="00B06663"/>
    <w:rsid w:val="00B066A8"/>
    <w:rsid w:val="00B10C6A"/>
    <w:rsid w:val="00B11779"/>
    <w:rsid w:val="00B204BC"/>
    <w:rsid w:val="00B21269"/>
    <w:rsid w:val="00B218DA"/>
    <w:rsid w:val="00B261B6"/>
    <w:rsid w:val="00B274C8"/>
    <w:rsid w:val="00B27511"/>
    <w:rsid w:val="00B303AA"/>
    <w:rsid w:val="00B3054C"/>
    <w:rsid w:val="00B30FCF"/>
    <w:rsid w:val="00B310D0"/>
    <w:rsid w:val="00B33096"/>
    <w:rsid w:val="00B342C5"/>
    <w:rsid w:val="00B35AE2"/>
    <w:rsid w:val="00B361F8"/>
    <w:rsid w:val="00B3727E"/>
    <w:rsid w:val="00B419BD"/>
    <w:rsid w:val="00B42BBB"/>
    <w:rsid w:val="00B449E1"/>
    <w:rsid w:val="00B44DB7"/>
    <w:rsid w:val="00B45793"/>
    <w:rsid w:val="00B460FA"/>
    <w:rsid w:val="00B46B77"/>
    <w:rsid w:val="00B47730"/>
    <w:rsid w:val="00B54111"/>
    <w:rsid w:val="00B55185"/>
    <w:rsid w:val="00B5554F"/>
    <w:rsid w:val="00B56386"/>
    <w:rsid w:val="00B5689F"/>
    <w:rsid w:val="00B573ED"/>
    <w:rsid w:val="00B6088A"/>
    <w:rsid w:val="00B631F6"/>
    <w:rsid w:val="00B647B1"/>
    <w:rsid w:val="00B64E63"/>
    <w:rsid w:val="00B65118"/>
    <w:rsid w:val="00B67022"/>
    <w:rsid w:val="00B704B0"/>
    <w:rsid w:val="00B70F33"/>
    <w:rsid w:val="00B71656"/>
    <w:rsid w:val="00B71A7E"/>
    <w:rsid w:val="00B72D49"/>
    <w:rsid w:val="00B73BEA"/>
    <w:rsid w:val="00B74123"/>
    <w:rsid w:val="00B74304"/>
    <w:rsid w:val="00B74BE8"/>
    <w:rsid w:val="00B758C5"/>
    <w:rsid w:val="00B76793"/>
    <w:rsid w:val="00B804AF"/>
    <w:rsid w:val="00B81732"/>
    <w:rsid w:val="00B84886"/>
    <w:rsid w:val="00B859FA"/>
    <w:rsid w:val="00B873A2"/>
    <w:rsid w:val="00B92E11"/>
    <w:rsid w:val="00B93E40"/>
    <w:rsid w:val="00B943D0"/>
    <w:rsid w:val="00B94B71"/>
    <w:rsid w:val="00B953B6"/>
    <w:rsid w:val="00B95C13"/>
    <w:rsid w:val="00B96225"/>
    <w:rsid w:val="00B96818"/>
    <w:rsid w:val="00BA00A6"/>
    <w:rsid w:val="00BA03E3"/>
    <w:rsid w:val="00BA0752"/>
    <w:rsid w:val="00BA3B6D"/>
    <w:rsid w:val="00BA5A8B"/>
    <w:rsid w:val="00BA5C27"/>
    <w:rsid w:val="00BB0339"/>
    <w:rsid w:val="00BB0766"/>
    <w:rsid w:val="00BB2AD3"/>
    <w:rsid w:val="00BB3993"/>
    <w:rsid w:val="00BB6167"/>
    <w:rsid w:val="00BB68F3"/>
    <w:rsid w:val="00BB6928"/>
    <w:rsid w:val="00BC0758"/>
    <w:rsid w:val="00BC0C3A"/>
    <w:rsid w:val="00BC10B7"/>
    <w:rsid w:val="00BC1696"/>
    <w:rsid w:val="00BC2A39"/>
    <w:rsid w:val="00BC321E"/>
    <w:rsid w:val="00BC3C8A"/>
    <w:rsid w:val="00BC4C28"/>
    <w:rsid w:val="00BC51C5"/>
    <w:rsid w:val="00BC5B67"/>
    <w:rsid w:val="00BC5D53"/>
    <w:rsid w:val="00BC6584"/>
    <w:rsid w:val="00BC7097"/>
    <w:rsid w:val="00BD0291"/>
    <w:rsid w:val="00BD0D97"/>
    <w:rsid w:val="00BD1AF6"/>
    <w:rsid w:val="00BD236E"/>
    <w:rsid w:val="00BD28B0"/>
    <w:rsid w:val="00BD3F83"/>
    <w:rsid w:val="00BE0128"/>
    <w:rsid w:val="00BE0156"/>
    <w:rsid w:val="00BE2609"/>
    <w:rsid w:val="00BE2D77"/>
    <w:rsid w:val="00BE3505"/>
    <w:rsid w:val="00BE3A56"/>
    <w:rsid w:val="00BE414C"/>
    <w:rsid w:val="00BE490B"/>
    <w:rsid w:val="00BE5BB9"/>
    <w:rsid w:val="00BE7024"/>
    <w:rsid w:val="00BE7929"/>
    <w:rsid w:val="00BF0412"/>
    <w:rsid w:val="00BF09FD"/>
    <w:rsid w:val="00BF0ADE"/>
    <w:rsid w:val="00BF1CE5"/>
    <w:rsid w:val="00BF235E"/>
    <w:rsid w:val="00BF2871"/>
    <w:rsid w:val="00BF4178"/>
    <w:rsid w:val="00BF4DA1"/>
    <w:rsid w:val="00BF53EF"/>
    <w:rsid w:val="00BF726C"/>
    <w:rsid w:val="00C00578"/>
    <w:rsid w:val="00C0574F"/>
    <w:rsid w:val="00C0606B"/>
    <w:rsid w:val="00C06342"/>
    <w:rsid w:val="00C07AE5"/>
    <w:rsid w:val="00C13DD8"/>
    <w:rsid w:val="00C141E9"/>
    <w:rsid w:val="00C15963"/>
    <w:rsid w:val="00C16058"/>
    <w:rsid w:val="00C161E7"/>
    <w:rsid w:val="00C16841"/>
    <w:rsid w:val="00C1714C"/>
    <w:rsid w:val="00C2104B"/>
    <w:rsid w:val="00C21B15"/>
    <w:rsid w:val="00C232B4"/>
    <w:rsid w:val="00C23DF6"/>
    <w:rsid w:val="00C24AE5"/>
    <w:rsid w:val="00C251AB"/>
    <w:rsid w:val="00C26083"/>
    <w:rsid w:val="00C26E09"/>
    <w:rsid w:val="00C31F2D"/>
    <w:rsid w:val="00C32B19"/>
    <w:rsid w:val="00C33DB9"/>
    <w:rsid w:val="00C34FB3"/>
    <w:rsid w:val="00C35293"/>
    <w:rsid w:val="00C368D5"/>
    <w:rsid w:val="00C37D3D"/>
    <w:rsid w:val="00C406F6"/>
    <w:rsid w:val="00C44597"/>
    <w:rsid w:val="00C44A94"/>
    <w:rsid w:val="00C451B5"/>
    <w:rsid w:val="00C459DB"/>
    <w:rsid w:val="00C46F69"/>
    <w:rsid w:val="00C47039"/>
    <w:rsid w:val="00C47074"/>
    <w:rsid w:val="00C47A98"/>
    <w:rsid w:val="00C47D52"/>
    <w:rsid w:val="00C518EC"/>
    <w:rsid w:val="00C5516E"/>
    <w:rsid w:val="00C561CF"/>
    <w:rsid w:val="00C60A3E"/>
    <w:rsid w:val="00C60F5C"/>
    <w:rsid w:val="00C61849"/>
    <w:rsid w:val="00C619DD"/>
    <w:rsid w:val="00C63488"/>
    <w:rsid w:val="00C6401F"/>
    <w:rsid w:val="00C64246"/>
    <w:rsid w:val="00C65FF7"/>
    <w:rsid w:val="00C6769A"/>
    <w:rsid w:val="00C67ED7"/>
    <w:rsid w:val="00C703D8"/>
    <w:rsid w:val="00C73AE3"/>
    <w:rsid w:val="00C74B01"/>
    <w:rsid w:val="00C756A6"/>
    <w:rsid w:val="00C758EA"/>
    <w:rsid w:val="00C77010"/>
    <w:rsid w:val="00C80582"/>
    <w:rsid w:val="00C823E2"/>
    <w:rsid w:val="00C8340B"/>
    <w:rsid w:val="00C847ED"/>
    <w:rsid w:val="00C86B17"/>
    <w:rsid w:val="00C86D06"/>
    <w:rsid w:val="00C878D2"/>
    <w:rsid w:val="00C90D8A"/>
    <w:rsid w:val="00C91D78"/>
    <w:rsid w:val="00C91E4C"/>
    <w:rsid w:val="00C9343A"/>
    <w:rsid w:val="00CA0FD0"/>
    <w:rsid w:val="00CA35B7"/>
    <w:rsid w:val="00CA45F5"/>
    <w:rsid w:val="00CA5310"/>
    <w:rsid w:val="00CA588C"/>
    <w:rsid w:val="00CA78D8"/>
    <w:rsid w:val="00CB0664"/>
    <w:rsid w:val="00CB2DA3"/>
    <w:rsid w:val="00CB30A4"/>
    <w:rsid w:val="00CB35FA"/>
    <w:rsid w:val="00CB5800"/>
    <w:rsid w:val="00CB5B36"/>
    <w:rsid w:val="00CB66A4"/>
    <w:rsid w:val="00CB6810"/>
    <w:rsid w:val="00CB7523"/>
    <w:rsid w:val="00CB798A"/>
    <w:rsid w:val="00CB7EC2"/>
    <w:rsid w:val="00CC053F"/>
    <w:rsid w:val="00CC0628"/>
    <w:rsid w:val="00CC07C0"/>
    <w:rsid w:val="00CC169F"/>
    <w:rsid w:val="00CC1FFF"/>
    <w:rsid w:val="00CC3D9E"/>
    <w:rsid w:val="00CC5445"/>
    <w:rsid w:val="00CC5CF9"/>
    <w:rsid w:val="00CC666E"/>
    <w:rsid w:val="00CC75C5"/>
    <w:rsid w:val="00CD0E58"/>
    <w:rsid w:val="00CD1560"/>
    <w:rsid w:val="00CD263C"/>
    <w:rsid w:val="00CD27C7"/>
    <w:rsid w:val="00CD29E4"/>
    <w:rsid w:val="00CD3EF4"/>
    <w:rsid w:val="00CD513B"/>
    <w:rsid w:val="00CD7076"/>
    <w:rsid w:val="00CE05DF"/>
    <w:rsid w:val="00CE0CB5"/>
    <w:rsid w:val="00CE2DA7"/>
    <w:rsid w:val="00CE4173"/>
    <w:rsid w:val="00CE5529"/>
    <w:rsid w:val="00CF0E25"/>
    <w:rsid w:val="00CF1424"/>
    <w:rsid w:val="00CF21F6"/>
    <w:rsid w:val="00CF2C4B"/>
    <w:rsid w:val="00CF304C"/>
    <w:rsid w:val="00CF5BCC"/>
    <w:rsid w:val="00CF5D08"/>
    <w:rsid w:val="00CF6618"/>
    <w:rsid w:val="00CF67F1"/>
    <w:rsid w:val="00CF6AAE"/>
    <w:rsid w:val="00D01EE1"/>
    <w:rsid w:val="00D02751"/>
    <w:rsid w:val="00D0301B"/>
    <w:rsid w:val="00D03078"/>
    <w:rsid w:val="00D03A88"/>
    <w:rsid w:val="00D03E6C"/>
    <w:rsid w:val="00D0728F"/>
    <w:rsid w:val="00D07345"/>
    <w:rsid w:val="00D11BAC"/>
    <w:rsid w:val="00D13512"/>
    <w:rsid w:val="00D140EE"/>
    <w:rsid w:val="00D144BE"/>
    <w:rsid w:val="00D1459E"/>
    <w:rsid w:val="00D154E0"/>
    <w:rsid w:val="00D159BA"/>
    <w:rsid w:val="00D1656D"/>
    <w:rsid w:val="00D17BA6"/>
    <w:rsid w:val="00D17E40"/>
    <w:rsid w:val="00D2136E"/>
    <w:rsid w:val="00D227B0"/>
    <w:rsid w:val="00D22C28"/>
    <w:rsid w:val="00D2335D"/>
    <w:rsid w:val="00D237D3"/>
    <w:rsid w:val="00D23D07"/>
    <w:rsid w:val="00D27FDE"/>
    <w:rsid w:val="00D31EF8"/>
    <w:rsid w:val="00D34D9A"/>
    <w:rsid w:val="00D35931"/>
    <w:rsid w:val="00D35E13"/>
    <w:rsid w:val="00D36018"/>
    <w:rsid w:val="00D36DA6"/>
    <w:rsid w:val="00D40A18"/>
    <w:rsid w:val="00D424E3"/>
    <w:rsid w:val="00D42ED6"/>
    <w:rsid w:val="00D43EB6"/>
    <w:rsid w:val="00D4500E"/>
    <w:rsid w:val="00D45C8F"/>
    <w:rsid w:val="00D46379"/>
    <w:rsid w:val="00D467EE"/>
    <w:rsid w:val="00D500F7"/>
    <w:rsid w:val="00D50ED2"/>
    <w:rsid w:val="00D51BCA"/>
    <w:rsid w:val="00D52534"/>
    <w:rsid w:val="00D5261C"/>
    <w:rsid w:val="00D52AF9"/>
    <w:rsid w:val="00D5325E"/>
    <w:rsid w:val="00D538C3"/>
    <w:rsid w:val="00D53A6A"/>
    <w:rsid w:val="00D53F3D"/>
    <w:rsid w:val="00D54C1C"/>
    <w:rsid w:val="00D55633"/>
    <w:rsid w:val="00D55A6A"/>
    <w:rsid w:val="00D55CE4"/>
    <w:rsid w:val="00D565A6"/>
    <w:rsid w:val="00D57642"/>
    <w:rsid w:val="00D579D4"/>
    <w:rsid w:val="00D60273"/>
    <w:rsid w:val="00D60C9A"/>
    <w:rsid w:val="00D60E0C"/>
    <w:rsid w:val="00D611E0"/>
    <w:rsid w:val="00D63236"/>
    <w:rsid w:val="00D6369D"/>
    <w:rsid w:val="00D639B0"/>
    <w:rsid w:val="00D63DBA"/>
    <w:rsid w:val="00D6493B"/>
    <w:rsid w:val="00D654D8"/>
    <w:rsid w:val="00D65575"/>
    <w:rsid w:val="00D669E8"/>
    <w:rsid w:val="00D67301"/>
    <w:rsid w:val="00D67523"/>
    <w:rsid w:val="00D70A48"/>
    <w:rsid w:val="00D71C7A"/>
    <w:rsid w:val="00D73D8E"/>
    <w:rsid w:val="00D75DFD"/>
    <w:rsid w:val="00D75E4B"/>
    <w:rsid w:val="00D77EA2"/>
    <w:rsid w:val="00D800B0"/>
    <w:rsid w:val="00D819F6"/>
    <w:rsid w:val="00D81FEE"/>
    <w:rsid w:val="00D829AD"/>
    <w:rsid w:val="00D831C9"/>
    <w:rsid w:val="00D8377A"/>
    <w:rsid w:val="00D83ECF"/>
    <w:rsid w:val="00D84217"/>
    <w:rsid w:val="00D86B13"/>
    <w:rsid w:val="00D86B70"/>
    <w:rsid w:val="00D86E69"/>
    <w:rsid w:val="00D875B2"/>
    <w:rsid w:val="00D92634"/>
    <w:rsid w:val="00D92D78"/>
    <w:rsid w:val="00D93E49"/>
    <w:rsid w:val="00DA03DB"/>
    <w:rsid w:val="00DA161C"/>
    <w:rsid w:val="00DA2203"/>
    <w:rsid w:val="00DA29CC"/>
    <w:rsid w:val="00DA3C1C"/>
    <w:rsid w:val="00DA509E"/>
    <w:rsid w:val="00DA58B8"/>
    <w:rsid w:val="00DB127A"/>
    <w:rsid w:val="00DB133F"/>
    <w:rsid w:val="00DB15A1"/>
    <w:rsid w:val="00DB16EA"/>
    <w:rsid w:val="00DB1CB2"/>
    <w:rsid w:val="00DB23CD"/>
    <w:rsid w:val="00DB2764"/>
    <w:rsid w:val="00DB4201"/>
    <w:rsid w:val="00DB44C0"/>
    <w:rsid w:val="00DB45FD"/>
    <w:rsid w:val="00DB472A"/>
    <w:rsid w:val="00DB522D"/>
    <w:rsid w:val="00DB6E58"/>
    <w:rsid w:val="00DC04F8"/>
    <w:rsid w:val="00DC1072"/>
    <w:rsid w:val="00DC1146"/>
    <w:rsid w:val="00DC294B"/>
    <w:rsid w:val="00DC34CF"/>
    <w:rsid w:val="00DC3658"/>
    <w:rsid w:val="00DC3E0B"/>
    <w:rsid w:val="00DC45E9"/>
    <w:rsid w:val="00DC4DBA"/>
    <w:rsid w:val="00DC51EE"/>
    <w:rsid w:val="00DD00AD"/>
    <w:rsid w:val="00DD050A"/>
    <w:rsid w:val="00DD0FA4"/>
    <w:rsid w:val="00DD135B"/>
    <w:rsid w:val="00DD1DF5"/>
    <w:rsid w:val="00DD3BBC"/>
    <w:rsid w:val="00DD3CC0"/>
    <w:rsid w:val="00DD5170"/>
    <w:rsid w:val="00DD59B8"/>
    <w:rsid w:val="00DD625E"/>
    <w:rsid w:val="00DD6E21"/>
    <w:rsid w:val="00DD7583"/>
    <w:rsid w:val="00DE0028"/>
    <w:rsid w:val="00DE002F"/>
    <w:rsid w:val="00DE010C"/>
    <w:rsid w:val="00DE14A3"/>
    <w:rsid w:val="00DE1B18"/>
    <w:rsid w:val="00DE4020"/>
    <w:rsid w:val="00DE44A9"/>
    <w:rsid w:val="00DE7499"/>
    <w:rsid w:val="00DF0929"/>
    <w:rsid w:val="00DF3BA0"/>
    <w:rsid w:val="00DF58DD"/>
    <w:rsid w:val="00DF5909"/>
    <w:rsid w:val="00DF6069"/>
    <w:rsid w:val="00DF6E96"/>
    <w:rsid w:val="00DF79EA"/>
    <w:rsid w:val="00E026BB"/>
    <w:rsid w:val="00E0378F"/>
    <w:rsid w:val="00E05A26"/>
    <w:rsid w:val="00E06955"/>
    <w:rsid w:val="00E075F9"/>
    <w:rsid w:val="00E12CDC"/>
    <w:rsid w:val="00E143CA"/>
    <w:rsid w:val="00E14C4C"/>
    <w:rsid w:val="00E157D6"/>
    <w:rsid w:val="00E22B4F"/>
    <w:rsid w:val="00E22FEF"/>
    <w:rsid w:val="00E23FB6"/>
    <w:rsid w:val="00E25104"/>
    <w:rsid w:val="00E2518E"/>
    <w:rsid w:val="00E2553A"/>
    <w:rsid w:val="00E264BB"/>
    <w:rsid w:val="00E26742"/>
    <w:rsid w:val="00E27761"/>
    <w:rsid w:val="00E3071D"/>
    <w:rsid w:val="00E30D87"/>
    <w:rsid w:val="00E3124A"/>
    <w:rsid w:val="00E31941"/>
    <w:rsid w:val="00E31F10"/>
    <w:rsid w:val="00E32FC1"/>
    <w:rsid w:val="00E3561E"/>
    <w:rsid w:val="00E363AE"/>
    <w:rsid w:val="00E37F27"/>
    <w:rsid w:val="00E444E5"/>
    <w:rsid w:val="00E44602"/>
    <w:rsid w:val="00E46940"/>
    <w:rsid w:val="00E46FC0"/>
    <w:rsid w:val="00E47786"/>
    <w:rsid w:val="00E522F5"/>
    <w:rsid w:val="00E54C2F"/>
    <w:rsid w:val="00E55E1B"/>
    <w:rsid w:val="00E560C1"/>
    <w:rsid w:val="00E5628A"/>
    <w:rsid w:val="00E579E4"/>
    <w:rsid w:val="00E57B84"/>
    <w:rsid w:val="00E60A4E"/>
    <w:rsid w:val="00E6567D"/>
    <w:rsid w:val="00E65AEE"/>
    <w:rsid w:val="00E66A2D"/>
    <w:rsid w:val="00E673F3"/>
    <w:rsid w:val="00E676E3"/>
    <w:rsid w:val="00E678B4"/>
    <w:rsid w:val="00E67BB3"/>
    <w:rsid w:val="00E67EF5"/>
    <w:rsid w:val="00E71C37"/>
    <w:rsid w:val="00E71FDF"/>
    <w:rsid w:val="00E77CA1"/>
    <w:rsid w:val="00E82F63"/>
    <w:rsid w:val="00E83B7A"/>
    <w:rsid w:val="00E87B57"/>
    <w:rsid w:val="00E90327"/>
    <w:rsid w:val="00E9341C"/>
    <w:rsid w:val="00E93508"/>
    <w:rsid w:val="00E93AB4"/>
    <w:rsid w:val="00E95753"/>
    <w:rsid w:val="00E96401"/>
    <w:rsid w:val="00E97E27"/>
    <w:rsid w:val="00E97FDA"/>
    <w:rsid w:val="00EA048E"/>
    <w:rsid w:val="00EA12F0"/>
    <w:rsid w:val="00EA4789"/>
    <w:rsid w:val="00EA7635"/>
    <w:rsid w:val="00EB0EF3"/>
    <w:rsid w:val="00EB29ED"/>
    <w:rsid w:val="00EB4ED7"/>
    <w:rsid w:val="00EB5AC5"/>
    <w:rsid w:val="00EB6320"/>
    <w:rsid w:val="00EC0C41"/>
    <w:rsid w:val="00EC0C7C"/>
    <w:rsid w:val="00EC0D51"/>
    <w:rsid w:val="00EC148E"/>
    <w:rsid w:val="00EC23CF"/>
    <w:rsid w:val="00EC252B"/>
    <w:rsid w:val="00EC3B58"/>
    <w:rsid w:val="00EC48B4"/>
    <w:rsid w:val="00EC7054"/>
    <w:rsid w:val="00EC71C1"/>
    <w:rsid w:val="00EC7668"/>
    <w:rsid w:val="00ED329D"/>
    <w:rsid w:val="00ED3BB5"/>
    <w:rsid w:val="00ED7BD5"/>
    <w:rsid w:val="00EE00C7"/>
    <w:rsid w:val="00EE1A35"/>
    <w:rsid w:val="00EE2349"/>
    <w:rsid w:val="00EE48D6"/>
    <w:rsid w:val="00EE70EE"/>
    <w:rsid w:val="00EE733A"/>
    <w:rsid w:val="00EF129C"/>
    <w:rsid w:val="00EF148B"/>
    <w:rsid w:val="00EF2A64"/>
    <w:rsid w:val="00EF2BB8"/>
    <w:rsid w:val="00EF2FCD"/>
    <w:rsid w:val="00EF4621"/>
    <w:rsid w:val="00EF596A"/>
    <w:rsid w:val="00EF5E35"/>
    <w:rsid w:val="00EF729C"/>
    <w:rsid w:val="00EF74C9"/>
    <w:rsid w:val="00F017C7"/>
    <w:rsid w:val="00F01CAA"/>
    <w:rsid w:val="00F02954"/>
    <w:rsid w:val="00F04772"/>
    <w:rsid w:val="00F04ED0"/>
    <w:rsid w:val="00F06D9A"/>
    <w:rsid w:val="00F06E49"/>
    <w:rsid w:val="00F0780F"/>
    <w:rsid w:val="00F10CFC"/>
    <w:rsid w:val="00F115C8"/>
    <w:rsid w:val="00F14C48"/>
    <w:rsid w:val="00F15210"/>
    <w:rsid w:val="00F15841"/>
    <w:rsid w:val="00F16601"/>
    <w:rsid w:val="00F16DFB"/>
    <w:rsid w:val="00F20908"/>
    <w:rsid w:val="00F20B81"/>
    <w:rsid w:val="00F22D44"/>
    <w:rsid w:val="00F235B8"/>
    <w:rsid w:val="00F237AC"/>
    <w:rsid w:val="00F23AF4"/>
    <w:rsid w:val="00F24407"/>
    <w:rsid w:val="00F24A02"/>
    <w:rsid w:val="00F252A7"/>
    <w:rsid w:val="00F254FE"/>
    <w:rsid w:val="00F30016"/>
    <w:rsid w:val="00F32523"/>
    <w:rsid w:val="00F32EE9"/>
    <w:rsid w:val="00F34C3D"/>
    <w:rsid w:val="00F3509A"/>
    <w:rsid w:val="00F35701"/>
    <w:rsid w:val="00F365CF"/>
    <w:rsid w:val="00F36A9C"/>
    <w:rsid w:val="00F36C73"/>
    <w:rsid w:val="00F37234"/>
    <w:rsid w:val="00F40A16"/>
    <w:rsid w:val="00F41B59"/>
    <w:rsid w:val="00F42DB0"/>
    <w:rsid w:val="00F43743"/>
    <w:rsid w:val="00F44030"/>
    <w:rsid w:val="00F4466D"/>
    <w:rsid w:val="00F44E0B"/>
    <w:rsid w:val="00F50F15"/>
    <w:rsid w:val="00F538DD"/>
    <w:rsid w:val="00F5627D"/>
    <w:rsid w:val="00F60D45"/>
    <w:rsid w:val="00F6327C"/>
    <w:rsid w:val="00F6339A"/>
    <w:rsid w:val="00F64036"/>
    <w:rsid w:val="00F640DC"/>
    <w:rsid w:val="00F65D86"/>
    <w:rsid w:val="00F66305"/>
    <w:rsid w:val="00F66407"/>
    <w:rsid w:val="00F6674E"/>
    <w:rsid w:val="00F704F6"/>
    <w:rsid w:val="00F7123A"/>
    <w:rsid w:val="00F71D44"/>
    <w:rsid w:val="00F71E62"/>
    <w:rsid w:val="00F72CDC"/>
    <w:rsid w:val="00F75138"/>
    <w:rsid w:val="00F76088"/>
    <w:rsid w:val="00F76A52"/>
    <w:rsid w:val="00F77D1E"/>
    <w:rsid w:val="00F808E9"/>
    <w:rsid w:val="00F80B5A"/>
    <w:rsid w:val="00F823A1"/>
    <w:rsid w:val="00F8251D"/>
    <w:rsid w:val="00F850B3"/>
    <w:rsid w:val="00F8590D"/>
    <w:rsid w:val="00F91588"/>
    <w:rsid w:val="00F922BB"/>
    <w:rsid w:val="00F9346A"/>
    <w:rsid w:val="00F944D0"/>
    <w:rsid w:val="00F96170"/>
    <w:rsid w:val="00FA0164"/>
    <w:rsid w:val="00FA2A8D"/>
    <w:rsid w:val="00FA2E6F"/>
    <w:rsid w:val="00FA7085"/>
    <w:rsid w:val="00FB06ED"/>
    <w:rsid w:val="00FB09A1"/>
    <w:rsid w:val="00FB3243"/>
    <w:rsid w:val="00FB3580"/>
    <w:rsid w:val="00FB46AF"/>
    <w:rsid w:val="00FB56C7"/>
    <w:rsid w:val="00FB5969"/>
    <w:rsid w:val="00FB6325"/>
    <w:rsid w:val="00FC0306"/>
    <w:rsid w:val="00FC1451"/>
    <w:rsid w:val="00FC23AE"/>
    <w:rsid w:val="00FC2BA3"/>
    <w:rsid w:val="00FC2C2F"/>
    <w:rsid w:val="00FC4B2E"/>
    <w:rsid w:val="00FC5DDA"/>
    <w:rsid w:val="00FC5E37"/>
    <w:rsid w:val="00FC6549"/>
    <w:rsid w:val="00FC693F"/>
    <w:rsid w:val="00FC7BF9"/>
    <w:rsid w:val="00FC7C66"/>
    <w:rsid w:val="00FC7FAC"/>
    <w:rsid w:val="00FD0126"/>
    <w:rsid w:val="00FD2A7E"/>
    <w:rsid w:val="00FD4145"/>
    <w:rsid w:val="00FD4BC1"/>
    <w:rsid w:val="00FD6D81"/>
    <w:rsid w:val="00FD7C83"/>
    <w:rsid w:val="00FD7CC8"/>
    <w:rsid w:val="00FD7D0C"/>
    <w:rsid w:val="00FE053C"/>
    <w:rsid w:val="00FE1A69"/>
    <w:rsid w:val="00FE272A"/>
    <w:rsid w:val="00FE3250"/>
    <w:rsid w:val="00FE3EEE"/>
    <w:rsid w:val="00FE4122"/>
    <w:rsid w:val="00FE46F2"/>
    <w:rsid w:val="00FE595B"/>
    <w:rsid w:val="00FE60D7"/>
    <w:rsid w:val="00FF1C86"/>
    <w:rsid w:val="00FF3B7A"/>
    <w:rsid w:val="00FF5280"/>
    <w:rsid w:val="00FF52D6"/>
    <w:rsid w:val="00FF5F02"/>
    <w:rsid w:val="00FF61F4"/>
    <w:rsid w:val="00FF6EB1"/>
    <w:rsid w:val="00FF721A"/>
    <w:rsid w:val="649921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D4E9CD"/>
  <w14:defaultImageDpi w14:val="300"/>
  <w15:docId w15:val="{544CE9EC-A376-4A31-BF56-DF194A840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1F8"/>
    <w:pPr>
      <w:spacing w:after="120"/>
    </w:pPr>
    <w:rPr>
      <w:rFonts w:ascii="Calibri" w:hAnsi="Calibri"/>
    </w:rPr>
  </w:style>
  <w:style w:type="paragraph" w:styleId="Heading1">
    <w:name w:val="heading 1"/>
    <w:basedOn w:val="Normal"/>
    <w:next w:val="Normal"/>
    <w:link w:val="Heading1Char"/>
    <w:uiPriority w:val="9"/>
    <w:qFormat/>
    <w:rsid w:val="00044104"/>
    <w:pPr>
      <w:keepNext/>
      <w:keepLines/>
      <w:shd w:val="clear" w:color="auto" w:fill="EEECE1" w:themeFill="background2"/>
      <w:spacing w:before="480" w:after="0"/>
      <w:outlineLvl w:val="0"/>
    </w:pPr>
    <w:rPr>
      <w:rFonts w:ascii="Aptos Narrow" w:eastAsiaTheme="majorEastAsia" w:hAnsi="Aptos Narrow" w:cstheme="majorBidi"/>
      <w:b/>
      <w:bCs/>
      <w:color w:val="006FC0"/>
      <w:sz w:val="28"/>
      <w:szCs w:val="28"/>
    </w:rPr>
  </w:style>
  <w:style w:type="paragraph" w:styleId="Heading2">
    <w:name w:val="heading 2"/>
    <w:basedOn w:val="Normal"/>
    <w:next w:val="Normal"/>
    <w:link w:val="Heading2Char"/>
    <w:uiPriority w:val="9"/>
    <w:unhideWhenUsed/>
    <w:qFormat/>
    <w:rsid w:val="002453A9"/>
    <w:pPr>
      <w:keepNext/>
      <w:keepLines/>
      <w:pBdr>
        <w:bottom w:val="double" w:sz="4" w:space="1" w:color="auto"/>
      </w:pBdr>
      <w:spacing w:before="24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24075B"/>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406D8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44104"/>
    <w:rPr>
      <w:rFonts w:ascii="Aptos Narrow" w:eastAsiaTheme="majorEastAsia" w:hAnsi="Aptos Narrow" w:cstheme="majorBidi"/>
      <w:b/>
      <w:bCs/>
      <w:color w:val="006FC0"/>
      <w:sz w:val="28"/>
      <w:szCs w:val="28"/>
      <w:shd w:val="clear" w:color="auto" w:fill="EEECE1" w:themeFill="background2"/>
    </w:rPr>
  </w:style>
  <w:style w:type="character" w:customStyle="1" w:styleId="Heading2Char">
    <w:name w:val="Heading 2 Char"/>
    <w:basedOn w:val="DefaultParagraphFont"/>
    <w:link w:val="Heading2"/>
    <w:uiPriority w:val="9"/>
    <w:rsid w:val="002453A9"/>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24075B"/>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06D8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4410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1">
    <w:name w:val="toc 1"/>
    <w:basedOn w:val="Normal"/>
    <w:next w:val="Normal"/>
    <w:autoRedefine/>
    <w:uiPriority w:val="39"/>
    <w:unhideWhenUsed/>
    <w:rsid w:val="002453A9"/>
    <w:pPr>
      <w:tabs>
        <w:tab w:val="left" w:pos="440"/>
        <w:tab w:val="right" w:leader="dot" w:pos="10790"/>
      </w:tabs>
      <w:spacing w:after="100"/>
    </w:pPr>
  </w:style>
  <w:style w:type="paragraph" w:styleId="TOC2">
    <w:name w:val="toc 2"/>
    <w:basedOn w:val="Normal"/>
    <w:next w:val="Normal"/>
    <w:autoRedefine/>
    <w:uiPriority w:val="39"/>
    <w:unhideWhenUsed/>
    <w:rsid w:val="00CA588C"/>
    <w:pPr>
      <w:spacing w:after="100"/>
      <w:ind w:left="220"/>
    </w:pPr>
  </w:style>
  <w:style w:type="paragraph" w:styleId="TOC3">
    <w:name w:val="toc 3"/>
    <w:basedOn w:val="Normal"/>
    <w:next w:val="Normal"/>
    <w:autoRedefine/>
    <w:uiPriority w:val="39"/>
    <w:unhideWhenUsed/>
    <w:rsid w:val="00CA588C"/>
    <w:pPr>
      <w:spacing w:after="100"/>
      <w:ind w:left="440"/>
    </w:pPr>
  </w:style>
  <w:style w:type="character" w:styleId="Hyperlink">
    <w:name w:val="Hyperlink"/>
    <w:basedOn w:val="DefaultParagraphFont"/>
    <w:uiPriority w:val="99"/>
    <w:unhideWhenUsed/>
    <w:rsid w:val="00CA588C"/>
    <w:rPr>
      <w:color w:val="0000FF" w:themeColor="hyperlink"/>
      <w:u w:val="single"/>
    </w:rPr>
  </w:style>
  <w:style w:type="paragraph" w:customStyle="1" w:styleId="TableParagraph">
    <w:name w:val="Table Paragraph"/>
    <w:basedOn w:val="Normal"/>
    <w:uiPriority w:val="1"/>
    <w:qFormat/>
    <w:rsid w:val="002C7FC4"/>
    <w:pPr>
      <w:widowControl w:val="0"/>
      <w:autoSpaceDE w:val="0"/>
      <w:autoSpaceDN w:val="0"/>
      <w:spacing w:after="0" w:line="240" w:lineRule="auto"/>
      <w:ind w:left="100"/>
    </w:pPr>
    <w:rPr>
      <w:rFonts w:eastAsia="Calibri" w:cs="Calibri"/>
    </w:rPr>
  </w:style>
  <w:style w:type="character" w:styleId="PlaceholderText">
    <w:name w:val="Placeholder Text"/>
    <w:basedOn w:val="DefaultParagraphFont"/>
    <w:uiPriority w:val="99"/>
    <w:semiHidden/>
    <w:rsid w:val="00BE414C"/>
    <w:rPr>
      <w:color w:val="666666"/>
    </w:rPr>
  </w:style>
  <w:style w:type="paragraph" w:styleId="Revision">
    <w:name w:val="Revision"/>
    <w:hidden/>
    <w:uiPriority w:val="99"/>
    <w:semiHidden/>
    <w:rsid w:val="001679CC"/>
    <w:pPr>
      <w:spacing w:after="0" w:line="240" w:lineRule="auto"/>
    </w:pPr>
    <w:rPr>
      <w:rFonts w:ascii="Calibri" w:hAnsi="Calibri"/>
    </w:rPr>
  </w:style>
  <w:style w:type="paragraph" w:customStyle="1" w:styleId="font-claude-response-body">
    <w:name w:val="font-claude-response-body"/>
    <w:basedOn w:val="Normal"/>
    <w:rsid w:val="00307D7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0704">
      <w:bodyDiv w:val="1"/>
      <w:marLeft w:val="0"/>
      <w:marRight w:val="0"/>
      <w:marTop w:val="0"/>
      <w:marBottom w:val="0"/>
      <w:divBdr>
        <w:top w:val="none" w:sz="0" w:space="0" w:color="auto"/>
        <w:left w:val="none" w:sz="0" w:space="0" w:color="auto"/>
        <w:bottom w:val="none" w:sz="0" w:space="0" w:color="auto"/>
        <w:right w:val="none" w:sz="0" w:space="0" w:color="auto"/>
      </w:divBdr>
    </w:div>
    <w:div w:id="123623283">
      <w:bodyDiv w:val="1"/>
      <w:marLeft w:val="0"/>
      <w:marRight w:val="0"/>
      <w:marTop w:val="0"/>
      <w:marBottom w:val="0"/>
      <w:divBdr>
        <w:top w:val="none" w:sz="0" w:space="0" w:color="auto"/>
        <w:left w:val="none" w:sz="0" w:space="0" w:color="auto"/>
        <w:bottom w:val="none" w:sz="0" w:space="0" w:color="auto"/>
        <w:right w:val="none" w:sz="0" w:space="0" w:color="auto"/>
      </w:divBdr>
      <w:divsChild>
        <w:div w:id="279069918">
          <w:marLeft w:val="0"/>
          <w:marRight w:val="0"/>
          <w:marTop w:val="0"/>
          <w:marBottom w:val="0"/>
          <w:divBdr>
            <w:top w:val="none" w:sz="0" w:space="0" w:color="auto"/>
            <w:left w:val="none" w:sz="0" w:space="0" w:color="auto"/>
            <w:bottom w:val="none" w:sz="0" w:space="0" w:color="auto"/>
            <w:right w:val="none" w:sz="0" w:space="0" w:color="auto"/>
          </w:divBdr>
          <w:divsChild>
            <w:div w:id="1554384373">
              <w:marLeft w:val="0"/>
              <w:marRight w:val="0"/>
              <w:marTop w:val="0"/>
              <w:marBottom w:val="0"/>
              <w:divBdr>
                <w:top w:val="none" w:sz="0" w:space="0" w:color="auto"/>
                <w:left w:val="none" w:sz="0" w:space="0" w:color="auto"/>
                <w:bottom w:val="none" w:sz="0" w:space="0" w:color="auto"/>
                <w:right w:val="none" w:sz="0" w:space="0" w:color="auto"/>
              </w:divBdr>
              <w:divsChild>
                <w:div w:id="889420734">
                  <w:marLeft w:val="0"/>
                  <w:marRight w:val="0"/>
                  <w:marTop w:val="0"/>
                  <w:marBottom w:val="0"/>
                  <w:divBdr>
                    <w:top w:val="none" w:sz="0" w:space="0" w:color="auto"/>
                    <w:left w:val="none" w:sz="0" w:space="0" w:color="auto"/>
                    <w:bottom w:val="none" w:sz="0" w:space="0" w:color="auto"/>
                    <w:right w:val="none" w:sz="0" w:space="0" w:color="auto"/>
                  </w:divBdr>
                  <w:divsChild>
                    <w:div w:id="676150171">
                      <w:marLeft w:val="0"/>
                      <w:marRight w:val="0"/>
                      <w:marTop w:val="0"/>
                      <w:marBottom w:val="0"/>
                      <w:divBdr>
                        <w:top w:val="none" w:sz="0" w:space="0" w:color="auto"/>
                        <w:left w:val="none" w:sz="0" w:space="0" w:color="auto"/>
                        <w:bottom w:val="none" w:sz="0" w:space="0" w:color="auto"/>
                        <w:right w:val="none" w:sz="0" w:space="0" w:color="auto"/>
                      </w:divBdr>
                      <w:divsChild>
                        <w:div w:id="1274248585">
                          <w:marLeft w:val="0"/>
                          <w:marRight w:val="0"/>
                          <w:marTop w:val="0"/>
                          <w:marBottom w:val="0"/>
                          <w:divBdr>
                            <w:top w:val="none" w:sz="0" w:space="0" w:color="auto"/>
                            <w:left w:val="none" w:sz="0" w:space="0" w:color="auto"/>
                            <w:bottom w:val="none" w:sz="0" w:space="0" w:color="auto"/>
                            <w:right w:val="none" w:sz="0" w:space="0" w:color="auto"/>
                          </w:divBdr>
                          <w:divsChild>
                            <w:div w:id="1611204770">
                              <w:marLeft w:val="0"/>
                              <w:marRight w:val="0"/>
                              <w:marTop w:val="0"/>
                              <w:marBottom w:val="0"/>
                              <w:divBdr>
                                <w:top w:val="none" w:sz="0" w:space="0" w:color="auto"/>
                                <w:left w:val="none" w:sz="0" w:space="0" w:color="auto"/>
                                <w:bottom w:val="none" w:sz="0" w:space="0" w:color="auto"/>
                                <w:right w:val="none" w:sz="0" w:space="0" w:color="auto"/>
                              </w:divBdr>
                              <w:divsChild>
                                <w:div w:id="3247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7467248">
      <w:bodyDiv w:val="1"/>
      <w:marLeft w:val="0"/>
      <w:marRight w:val="0"/>
      <w:marTop w:val="0"/>
      <w:marBottom w:val="0"/>
      <w:divBdr>
        <w:top w:val="none" w:sz="0" w:space="0" w:color="auto"/>
        <w:left w:val="none" w:sz="0" w:space="0" w:color="auto"/>
        <w:bottom w:val="none" w:sz="0" w:space="0" w:color="auto"/>
        <w:right w:val="none" w:sz="0" w:space="0" w:color="auto"/>
      </w:divBdr>
      <w:divsChild>
        <w:div w:id="698506924">
          <w:marLeft w:val="0"/>
          <w:marRight w:val="0"/>
          <w:marTop w:val="0"/>
          <w:marBottom w:val="0"/>
          <w:divBdr>
            <w:top w:val="none" w:sz="0" w:space="0" w:color="auto"/>
            <w:left w:val="none" w:sz="0" w:space="0" w:color="auto"/>
            <w:bottom w:val="none" w:sz="0" w:space="0" w:color="auto"/>
            <w:right w:val="none" w:sz="0" w:space="0" w:color="auto"/>
          </w:divBdr>
          <w:divsChild>
            <w:div w:id="2039425756">
              <w:marLeft w:val="0"/>
              <w:marRight w:val="0"/>
              <w:marTop w:val="0"/>
              <w:marBottom w:val="0"/>
              <w:divBdr>
                <w:top w:val="none" w:sz="0" w:space="0" w:color="auto"/>
                <w:left w:val="none" w:sz="0" w:space="0" w:color="auto"/>
                <w:bottom w:val="none" w:sz="0" w:space="0" w:color="auto"/>
                <w:right w:val="none" w:sz="0" w:space="0" w:color="auto"/>
              </w:divBdr>
            </w:div>
            <w:div w:id="1104836381">
              <w:marLeft w:val="0"/>
              <w:marRight w:val="0"/>
              <w:marTop w:val="0"/>
              <w:marBottom w:val="0"/>
              <w:divBdr>
                <w:top w:val="none" w:sz="0" w:space="0" w:color="auto"/>
                <w:left w:val="none" w:sz="0" w:space="0" w:color="auto"/>
                <w:bottom w:val="none" w:sz="0" w:space="0" w:color="auto"/>
                <w:right w:val="none" w:sz="0" w:space="0" w:color="auto"/>
              </w:divBdr>
            </w:div>
            <w:div w:id="1130174425">
              <w:marLeft w:val="0"/>
              <w:marRight w:val="0"/>
              <w:marTop w:val="0"/>
              <w:marBottom w:val="0"/>
              <w:divBdr>
                <w:top w:val="none" w:sz="0" w:space="0" w:color="auto"/>
                <w:left w:val="none" w:sz="0" w:space="0" w:color="auto"/>
                <w:bottom w:val="none" w:sz="0" w:space="0" w:color="auto"/>
                <w:right w:val="none" w:sz="0" w:space="0" w:color="auto"/>
              </w:divBdr>
            </w:div>
            <w:div w:id="1655720273">
              <w:marLeft w:val="0"/>
              <w:marRight w:val="0"/>
              <w:marTop w:val="0"/>
              <w:marBottom w:val="0"/>
              <w:divBdr>
                <w:top w:val="none" w:sz="0" w:space="0" w:color="auto"/>
                <w:left w:val="none" w:sz="0" w:space="0" w:color="auto"/>
                <w:bottom w:val="none" w:sz="0" w:space="0" w:color="auto"/>
                <w:right w:val="none" w:sz="0" w:space="0" w:color="auto"/>
              </w:divBdr>
            </w:div>
            <w:div w:id="2055812127">
              <w:marLeft w:val="0"/>
              <w:marRight w:val="0"/>
              <w:marTop w:val="0"/>
              <w:marBottom w:val="0"/>
              <w:divBdr>
                <w:top w:val="none" w:sz="0" w:space="0" w:color="auto"/>
                <w:left w:val="none" w:sz="0" w:space="0" w:color="auto"/>
                <w:bottom w:val="none" w:sz="0" w:space="0" w:color="auto"/>
                <w:right w:val="none" w:sz="0" w:space="0" w:color="auto"/>
              </w:divBdr>
            </w:div>
          </w:divsChild>
        </w:div>
        <w:div w:id="100153095">
          <w:marLeft w:val="0"/>
          <w:marRight w:val="0"/>
          <w:marTop w:val="0"/>
          <w:marBottom w:val="0"/>
          <w:divBdr>
            <w:top w:val="none" w:sz="0" w:space="0" w:color="auto"/>
            <w:left w:val="none" w:sz="0" w:space="0" w:color="auto"/>
            <w:bottom w:val="none" w:sz="0" w:space="0" w:color="auto"/>
            <w:right w:val="none" w:sz="0" w:space="0" w:color="auto"/>
          </w:divBdr>
          <w:divsChild>
            <w:div w:id="279458013">
              <w:marLeft w:val="0"/>
              <w:marRight w:val="0"/>
              <w:marTop w:val="0"/>
              <w:marBottom w:val="0"/>
              <w:divBdr>
                <w:top w:val="none" w:sz="0" w:space="0" w:color="auto"/>
                <w:left w:val="none" w:sz="0" w:space="0" w:color="auto"/>
                <w:bottom w:val="none" w:sz="0" w:space="0" w:color="auto"/>
                <w:right w:val="none" w:sz="0" w:space="0" w:color="auto"/>
              </w:divBdr>
            </w:div>
            <w:div w:id="385491143">
              <w:marLeft w:val="0"/>
              <w:marRight w:val="0"/>
              <w:marTop w:val="0"/>
              <w:marBottom w:val="0"/>
              <w:divBdr>
                <w:top w:val="none" w:sz="0" w:space="0" w:color="auto"/>
                <w:left w:val="none" w:sz="0" w:space="0" w:color="auto"/>
                <w:bottom w:val="none" w:sz="0" w:space="0" w:color="auto"/>
                <w:right w:val="none" w:sz="0" w:space="0" w:color="auto"/>
              </w:divBdr>
            </w:div>
            <w:div w:id="277638903">
              <w:marLeft w:val="0"/>
              <w:marRight w:val="0"/>
              <w:marTop w:val="0"/>
              <w:marBottom w:val="0"/>
              <w:divBdr>
                <w:top w:val="none" w:sz="0" w:space="0" w:color="auto"/>
                <w:left w:val="none" w:sz="0" w:space="0" w:color="auto"/>
                <w:bottom w:val="none" w:sz="0" w:space="0" w:color="auto"/>
                <w:right w:val="none" w:sz="0" w:space="0" w:color="auto"/>
              </w:divBdr>
            </w:div>
            <w:div w:id="701252110">
              <w:marLeft w:val="0"/>
              <w:marRight w:val="0"/>
              <w:marTop w:val="0"/>
              <w:marBottom w:val="0"/>
              <w:divBdr>
                <w:top w:val="none" w:sz="0" w:space="0" w:color="auto"/>
                <w:left w:val="none" w:sz="0" w:space="0" w:color="auto"/>
                <w:bottom w:val="none" w:sz="0" w:space="0" w:color="auto"/>
                <w:right w:val="none" w:sz="0" w:space="0" w:color="auto"/>
              </w:divBdr>
            </w:div>
            <w:div w:id="1045251621">
              <w:marLeft w:val="0"/>
              <w:marRight w:val="0"/>
              <w:marTop w:val="0"/>
              <w:marBottom w:val="0"/>
              <w:divBdr>
                <w:top w:val="none" w:sz="0" w:space="0" w:color="auto"/>
                <w:left w:val="none" w:sz="0" w:space="0" w:color="auto"/>
                <w:bottom w:val="none" w:sz="0" w:space="0" w:color="auto"/>
                <w:right w:val="none" w:sz="0" w:space="0" w:color="auto"/>
              </w:divBdr>
            </w:div>
            <w:div w:id="4075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3220">
      <w:bodyDiv w:val="1"/>
      <w:marLeft w:val="0"/>
      <w:marRight w:val="0"/>
      <w:marTop w:val="0"/>
      <w:marBottom w:val="0"/>
      <w:divBdr>
        <w:top w:val="none" w:sz="0" w:space="0" w:color="auto"/>
        <w:left w:val="none" w:sz="0" w:space="0" w:color="auto"/>
        <w:bottom w:val="none" w:sz="0" w:space="0" w:color="auto"/>
        <w:right w:val="none" w:sz="0" w:space="0" w:color="auto"/>
      </w:divBdr>
      <w:divsChild>
        <w:div w:id="1286810841">
          <w:marLeft w:val="0"/>
          <w:marRight w:val="0"/>
          <w:marTop w:val="0"/>
          <w:marBottom w:val="0"/>
          <w:divBdr>
            <w:top w:val="none" w:sz="0" w:space="0" w:color="auto"/>
            <w:left w:val="none" w:sz="0" w:space="0" w:color="auto"/>
            <w:bottom w:val="none" w:sz="0" w:space="0" w:color="auto"/>
            <w:right w:val="none" w:sz="0" w:space="0" w:color="auto"/>
          </w:divBdr>
          <w:divsChild>
            <w:div w:id="1579364192">
              <w:marLeft w:val="0"/>
              <w:marRight w:val="0"/>
              <w:marTop w:val="0"/>
              <w:marBottom w:val="0"/>
              <w:divBdr>
                <w:top w:val="none" w:sz="0" w:space="0" w:color="auto"/>
                <w:left w:val="none" w:sz="0" w:space="0" w:color="auto"/>
                <w:bottom w:val="none" w:sz="0" w:space="0" w:color="auto"/>
                <w:right w:val="none" w:sz="0" w:space="0" w:color="auto"/>
              </w:divBdr>
            </w:div>
            <w:div w:id="431970912">
              <w:marLeft w:val="0"/>
              <w:marRight w:val="0"/>
              <w:marTop w:val="0"/>
              <w:marBottom w:val="0"/>
              <w:divBdr>
                <w:top w:val="none" w:sz="0" w:space="0" w:color="auto"/>
                <w:left w:val="none" w:sz="0" w:space="0" w:color="auto"/>
                <w:bottom w:val="none" w:sz="0" w:space="0" w:color="auto"/>
                <w:right w:val="none" w:sz="0" w:space="0" w:color="auto"/>
              </w:divBdr>
            </w:div>
            <w:div w:id="223370020">
              <w:marLeft w:val="0"/>
              <w:marRight w:val="0"/>
              <w:marTop w:val="0"/>
              <w:marBottom w:val="0"/>
              <w:divBdr>
                <w:top w:val="none" w:sz="0" w:space="0" w:color="auto"/>
                <w:left w:val="none" w:sz="0" w:space="0" w:color="auto"/>
                <w:bottom w:val="none" w:sz="0" w:space="0" w:color="auto"/>
                <w:right w:val="none" w:sz="0" w:space="0" w:color="auto"/>
              </w:divBdr>
            </w:div>
            <w:div w:id="518199709">
              <w:marLeft w:val="0"/>
              <w:marRight w:val="0"/>
              <w:marTop w:val="0"/>
              <w:marBottom w:val="0"/>
              <w:divBdr>
                <w:top w:val="none" w:sz="0" w:space="0" w:color="auto"/>
                <w:left w:val="none" w:sz="0" w:space="0" w:color="auto"/>
                <w:bottom w:val="none" w:sz="0" w:space="0" w:color="auto"/>
                <w:right w:val="none" w:sz="0" w:space="0" w:color="auto"/>
              </w:divBdr>
            </w:div>
            <w:div w:id="635255974">
              <w:marLeft w:val="0"/>
              <w:marRight w:val="0"/>
              <w:marTop w:val="0"/>
              <w:marBottom w:val="0"/>
              <w:divBdr>
                <w:top w:val="none" w:sz="0" w:space="0" w:color="auto"/>
                <w:left w:val="none" w:sz="0" w:space="0" w:color="auto"/>
                <w:bottom w:val="none" w:sz="0" w:space="0" w:color="auto"/>
                <w:right w:val="none" w:sz="0" w:space="0" w:color="auto"/>
              </w:divBdr>
            </w:div>
          </w:divsChild>
        </w:div>
        <w:div w:id="849876433">
          <w:marLeft w:val="0"/>
          <w:marRight w:val="0"/>
          <w:marTop w:val="0"/>
          <w:marBottom w:val="0"/>
          <w:divBdr>
            <w:top w:val="none" w:sz="0" w:space="0" w:color="auto"/>
            <w:left w:val="none" w:sz="0" w:space="0" w:color="auto"/>
            <w:bottom w:val="none" w:sz="0" w:space="0" w:color="auto"/>
            <w:right w:val="none" w:sz="0" w:space="0" w:color="auto"/>
          </w:divBdr>
          <w:divsChild>
            <w:div w:id="153759729">
              <w:marLeft w:val="0"/>
              <w:marRight w:val="0"/>
              <w:marTop w:val="0"/>
              <w:marBottom w:val="0"/>
              <w:divBdr>
                <w:top w:val="none" w:sz="0" w:space="0" w:color="auto"/>
                <w:left w:val="none" w:sz="0" w:space="0" w:color="auto"/>
                <w:bottom w:val="none" w:sz="0" w:space="0" w:color="auto"/>
                <w:right w:val="none" w:sz="0" w:space="0" w:color="auto"/>
              </w:divBdr>
            </w:div>
            <w:div w:id="1823306857">
              <w:marLeft w:val="0"/>
              <w:marRight w:val="0"/>
              <w:marTop w:val="0"/>
              <w:marBottom w:val="0"/>
              <w:divBdr>
                <w:top w:val="none" w:sz="0" w:space="0" w:color="auto"/>
                <w:left w:val="none" w:sz="0" w:space="0" w:color="auto"/>
                <w:bottom w:val="none" w:sz="0" w:space="0" w:color="auto"/>
                <w:right w:val="none" w:sz="0" w:space="0" w:color="auto"/>
              </w:divBdr>
            </w:div>
            <w:div w:id="268784326">
              <w:marLeft w:val="0"/>
              <w:marRight w:val="0"/>
              <w:marTop w:val="0"/>
              <w:marBottom w:val="0"/>
              <w:divBdr>
                <w:top w:val="none" w:sz="0" w:space="0" w:color="auto"/>
                <w:left w:val="none" w:sz="0" w:space="0" w:color="auto"/>
                <w:bottom w:val="none" w:sz="0" w:space="0" w:color="auto"/>
                <w:right w:val="none" w:sz="0" w:space="0" w:color="auto"/>
              </w:divBdr>
            </w:div>
            <w:div w:id="1468350609">
              <w:marLeft w:val="0"/>
              <w:marRight w:val="0"/>
              <w:marTop w:val="0"/>
              <w:marBottom w:val="0"/>
              <w:divBdr>
                <w:top w:val="none" w:sz="0" w:space="0" w:color="auto"/>
                <w:left w:val="none" w:sz="0" w:space="0" w:color="auto"/>
                <w:bottom w:val="none" w:sz="0" w:space="0" w:color="auto"/>
                <w:right w:val="none" w:sz="0" w:space="0" w:color="auto"/>
              </w:divBdr>
            </w:div>
            <w:div w:id="377052248">
              <w:marLeft w:val="0"/>
              <w:marRight w:val="0"/>
              <w:marTop w:val="0"/>
              <w:marBottom w:val="0"/>
              <w:divBdr>
                <w:top w:val="none" w:sz="0" w:space="0" w:color="auto"/>
                <w:left w:val="none" w:sz="0" w:space="0" w:color="auto"/>
                <w:bottom w:val="none" w:sz="0" w:space="0" w:color="auto"/>
                <w:right w:val="none" w:sz="0" w:space="0" w:color="auto"/>
              </w:divBdr>
            </w:div>
            <w:div w:id="113082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08471">
      <w:bodyDiv w:val="1"/>
      <w:marLeft w:val="0"/>
      <w:marRight w:val="0"/>
      <w:marTop w:val="0"/>
      <w:marBottom w:val="0"/>
      <w:divBdr>
        <w:top w:val="none" w:sz="0" w:space="0" w:color="auto"/>
        <w:left w:val="none" w:sz="0" w:space="0" w:color="auto"/>
        <w:bottom w:val="none" w:sz="0" w:space="0" w:color="auto"/>
        <w:right w:val="none" w:sz="0" w:space="0" w:color="auto"/>
      </w:divBdr>
    </w:div>
    <w:div w:id="337198278">
      <w:bodyDiv w:val="1"/>
      <w:marLeft w:val="0"/>
      <w:marRight w:val="0"/>
      <w:marTop w:val="0"/>
      <w:marBottom w:val="0"/>
      <w:divBdr>
        <w:top w:val="none" w:sz="0" w:space="0" w:color="auto"/>
        <w:left w:val="none" w:sz="0" w:space="0" w:color="auto"/>
        <w:bottom w:val="none" w:sz="0" w:space="0" w:color="auto"/>
        <w:right w:val="none" w:sz="0" w:space="0" w:color="auto"/>
      </w:divBdr>
    </w:div>
    <w:div w:id="337199001">
      <w:bodyDiv w:val="1"/>
      <w:marLeft w:val="0"/>
      <w:marRight w:val="0"/>
      <w:marTop w:val="0"/>
      <w:marBottom w:val="0"/>
      <w:divBdr>
        <w:top w:val="none" w:sz="0" w:space="0" w:color="auto"/>
        <w:left w:val="none" w:sz="0" w:space="0" w:color="auto"/>
        <w:bottom w:val="none" w:sz="0" w:space="0" w:color="auto"/>
        <w:right w:val="none" w:sz="0" w:space="0" w:color="auto"/>
      </w:divBdr>
    </w:div>
    <w:div w:id="338967249">
      <w:bodyDiv w:val="1"/>
      <w:marLeft w:val="0"/>
      <w:marRight w:val="0"/>
      <w:marTop w:val="0"/>
      <w:marBottom w:val="0"/>
      <w:divBdr>
        <w:top w:val="none" w:sz="0" w:space="0" w:color="auto"/>
        <w:left w:val="none" w:sz="0" w:space="0" w:color="auto"/>
        <w:bottom w:val="none" w:sz="0" w:space="0" w:color="auto"/>
        <w:right w:val="none" w:sz="0" w:space="0" w:color="auto"/>
      </w:divBdr>
    </w:div>
    <w:div w:id="392002748">
      <w:bodyDiv w:val="1"/>
      <w:marLeft w:val="0"/>
      <w:marRight w:val="0"/>
      <w:marTop w:val="0"/>
      <w:marBottom w:val="0"/>
      <w:divBdr>
        <w:top w:val="none" w:sz="0" w:space="0" w:color="auto"/>
        <w:left w:val="none" w:sz="0" w:space="0" w:color="auto"/>
        <w:bottom w:val="none" w:sz="0" w:space="0" w:color="auto"/>
        <w:right w:val="none" w:sz="0" w:space="0" w:color="auto"/>
      </w:divBdr>
    </w:div>
    <w:div w:id="447310991">
      <w:bodyDiv w:val="1"/>
      <w:marLeft w:val="0"/>
      <w:marRight w:val="0"/>
      <w:marTop w:val="0"/>
      <w:marBottom w:val="0"/>
      <w:divBdr>
        <w:top w:val="none" w:sz="0" w:space="0" w:color="auto"/>
        <w:left w:val="none" w:sz="0" w:space="0" w:color="auto"/>
        <w:bottom w:val="none" w:sz="0" w:space="0" w:color="auto"/>
        <w:right w:val="none" w:sz="0" w:space="0" w:color="auto"/>
      </w:divBdr>
      <w:divsChild>
        <w:div w:id="306134396">
          <w:marLeft w:val="0"/>
          <w:marRight w:val="0"/>
          <w:marTop w:val="0"/>
          <w:marBottom w:val="0"/>
          <w:divBdr>
            <w:top w:val="none" w:sz="0" w:space="0" w:color="auto"/>
            <w:left w:val="none" w:sz="0" w:space="0" w:color="auto"/>
            <w:bottom w:val="none" w:sz="0" w:space="0" w:color="auto"/>
            <w:right w:val="none" w:sz="0" w:space="0" w:color="auto"/>
          </w:divBdr>
          <w:divsChild>
            <w:div w:id="1841193317">
              <w:marLeft w:val="0"/>
              <w:marRight w:val="0"/>
              <w:marTop w:val="0"/>
              <w:marBottom w:val="0"/>
              <w:divBdr>
                <w:top w:val="none" w:sz="0" w:space="0" w:color="auto"/>
                <w:left w:val="none" w:sz="0" w:space="0" w:color="auto"/>
                <w:bottom w:val="none" w:sz="0" w:space="0" w:color="auto"/>
                <w:right w:val="none" w:sz="0" w:space="0" w:color="auto"/>
              </w:divBdr>
            </w:div>
            <w:div w:id="276761662">
              <w:marLeft w:val="0"/>
              <w:marRight w:val="0"/>
              <w:marTop w:val="0"/>
              <w:marBottom w:val="0"/>
              <w:divBdr>
                <w:top w:val="none" w:sz="0" w:space="0" w:color="auto"/>
                <w:left w:val="none" w:sz="0" w:space="0" w:color="auto"/>
                <w:bottom w:val="none" w:sz="0" w:space="0" w:color="auto"/>
                <w:right w:val="none" w:sz="0" w:space="0" w:color="auto"/>
              </w:divBdr>
            </w:div>
            <w:div w:id="147526001">
              <w:marLeft w:val="0"/>
              <w:marRight w:val="0"/>
              <w:marTop w:val="0"/>
              <w:marBottom w:val="0"/>
              <w:divBdr>
                <w:top w:val="none" w:sz="0" w:space="0" w:color="auto"/>
                <w:left w:val="none" w:sz="0" w:space="0" w:color="auto"/>
                <w:bottom w:val="none" w:sz="0" w:space="0" w:color="auto"/>
                <w:right w:val="none" w:sz="0" w:space="0" w:color="auto"/>
              </w:divBdr>
            </w:div>
            <w:div w:id="509417250">
              <w:marLeft w:val="0"/>
              <w:marRight w:val="0"/>
              <w:marTop w:val="0"/>
              <w:marBottom w:val="0"/>
              <w:divBdr>
                <w:top w:val="none" w:sz="0" w:space="0" w:color="auto"/>
                <w:left w:val="none" w:sz="0" w:space="0" w:color="auto"/>
                <w:bottom w:val="none" w:sz="0" w:space="0" w:color="auto"/>
                <w:right w:val="none" w:sz="0" w:space="0" w:color="auto"/>
              </w:divBdr>
            </w:div>
            <w:div w:id="2129742362">
              <w:marLeft w:val="0"/>
              <w:marRight w:val="0"/>
              <w:marTop w:val="0"/>
              <w:marBottom w:val="0"/>
              <w:divBdr>
                <w:top w:val="none" w:sz="0" w:space="0" w:color="auto"/>
                <w:left w:val="none" w:sz="0" w:space="0" w:color="auto"/>
                <w:bottom w:val="none" w:sz="0" w:space="0" w:color="auto"/>
                <w:right w:val="none" w:sz="0" w:space="0" w:color="auto"/>
              </w:divBdr>
            </w:div>
            <w:div w:id="1625310939">
              <w:marLeft w:val="0"/>
              <w:marRight w:val="0"/>
              <w:marTop w:val="0"/>
              <w:marBottom w:val="0"/>
              <w:divBdr>
                <w:top w:val="none" w:sz="0" w:space="0" w:color="auto"/>
                <w:left w:val="none" w:sz="0" w:space="0" w:color="auto"/>
                <w:bottom w:val="none" w:sz="0" w:space="0" w:color="auto"/>
                <w:right w:val="none" w:sz="0" w:space="0" w:color="auto"/>
              </w:divBdr>
            </w:div>
            <w:div w:id="1743258982">
              <w:marLeft w:val="0"/>
              <w:marRight w:val="0"/>
              <w:marTop w:val="0"/>
              <w:marBottom w:val="0"/>
              <w:divBdr>
                <w:top w:val="none" w:sz="0" w:space="0" w:color="auto"/>
                <w:left w:val="none" w:sz="0" w:space="0" w:color="auto"/>
                <w:bottom w:val="none" w:sz="0" w:space="0" w:color="auto"/>
                <w:right w:val="none" w:sz="0" w:space="0" w:color="auto"/>
              </w:divBdr>
            </w:div>
          </w:divsChild>
        </w:div>
        <w:div w:id="950209377">
          <w:marLeft w:val="0"/>
          <w:marRight w:val="0"/>
          <w:marTop w:val="0"/>
          <w:marBottom w:val="0"/>
          <w:divBdr>
            <w:top w:val="none" w:sz="0" w:space="0" w:color="auto"/>
            <w:left w:val="none" w:sz="0" w:space="0" w:color="auto"/>
            <w:bottom w:val="none" w:sz="0" w:space="0" w:color="auto"/>
            <w:right w:val="none" w:sz="0" w:space="0" w:color="auto"/>
          </w:divBdr>
          <w:divsChild>
            <w:div w:id="1730152094">
              <w:marLeft w:val="0"/>
              <w:marRight w:val="0"/>
              <w:marTop w:val="0"/>
              <w:marBottom w:val="0"/>
              <w:divBdr>
                <w:top w:val="none" w:sz="0" w:space="0" w:color="auto"/>
                <w:left w:val="none" w:sz="0" w:space="0" w:color="auto"/>
                <w:bottom w:val="none" w:sz="0" w:space="0" w:color="auto"/>
                <w:right w:val="none" w:sz="0" w:space="0" w:color="auto"/>
              </w:divBdr>
            </w:div>
            <w:div w:id="530340507">
              <w:marLeft w:val="0"/>
              <w:marRight w:val="0"/>
              <w:marTop w:val="0"/>
              <w:marBottom w:val="0"/>
              <w:divBdr>
                <w:top w:val="none" w:sz="0" w:space="0" w:color="auto"/>
                <w:left w:val="none" w:sz="0" w:space="0" w:color="auto"/>
                <w:bottom w:val="none" w:sz="0" w:space="0" w:color="auto"/>
                <w:right w:val="none" w:sz="0" w:space="0" w:color="auto"/>
              </w:divBdr>
            </w:div>
            <w:div w:id="321667682">
              <w:marLeft w:val="0"/>
              <w:marRight w:val="0"/>
              <w:marTop w:val="0"/>
              <w:marBottom w:val="0"/>
              <w:divBdr>
                <w:top w:val="none" w:sz="0" w:space="0" w:color="auto"/>
                <w:left w:val="none" w:sz="0" w:space="0" w:color="auto"/>
                <w:bottom w:val="none" w:sz="0" w:space="0" w:color="auto"/>
                <w:right w:val="none" w:sz="0" w:space="0" w:color="auto"/>
              </w:divBdr>
            </w:div>
            <w:div w:id="1448163191">
              <w:marLeft w:val="0"/>
              <w:marRight w:val="0"/>
              <w:marTop w:val="0"/>
              <w:marBottom w:val="0"/>
              <w:divBdr>
                <w:top w:val="none" w:sz="0" w:space="0" w:color="auto"/>
                <w:left w:val="none" w:sz="0" w:space="0" w:color="auto"/>
                <w:bottom w:val="none" w:sz="0" w:space="0" w:color="auto"/>
                <w:right w:val="none" w:sz="0" w:space="0" w:color="auto"/>
              </w:divBdr>
            </w:div>
            <w:div w:id="1655454124">
              <w:marLeft w:val="0"/>
              <w:marRight w:val="0"/>
              <w:marTop w:val="0"/>
              <w:marBottom w:val="0"/>
              <w:divBdr>
                <w:top w:val="none" w:sz="0" w:space="0" w:color="auto"/>
                <w:left w:val="none" w:sz="0" w:space="0" w:color="auto"/>
                <w:bottom w:val="none" w:sz="0" w:space="0" w:color="auto"/>
                <w:right w:val="none" w:sz="0" w:space="0" w:color="auto"/>
              </w:divBdr>
            </w:div>
            <w:div w:id="3207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593">
      <w:bodyDiv w:val="1"/>
      <w:marLeft w:val="0"/>
      <w:marRight w:val="0"/>
      <w:marTop w:val="0"/>
      <w:marBottom w:val="0"/>
      <w:divBdr>
        <w:top w:val="none" w:sz="0" w:space="0" w:color="auto"/>
        <w:left w:val="none" w:sz="0" w:space="0" w:color="auto"/>
        <w:bottom w:val="none" w:sz="0" w:space="0" w:color="auto"/>
        <w:right w:val="none" w:sz="0" w:space="0" w:color="auto"/>
      </w:divBdr>
    </w:div>
    <w:div w:id="724720839">
      <w:bodyDiv w:val="1"/>
      <w:marLeft w:val="0"/>
      <w:marRight w:val="0"/>
      <w:marTop w:val="0"/>
      <w:marBottom w:val="0"/>
      <w:divBdr>
        <w:top w:val="none" w:sz="0" w:space="0" w:color="auto"/>
        <w:left w:val="none" w:sz="0" w:space="0" w:color="auto"/>
        <w:bottom w:val="none" w:sz="0" w:space="0" w:color="auto"/>
        <w:right w:val="none" w:sz="0" w:space="0" w:color="auto"/>
      </w:divBdr>
    </w:div>
    <w:div w:id="792748320">
      <w:bodyDiv w:val="1"/>
      <w:marLeft w:val="0"/>
      <w:marRight w:val="0"/>
      <w:marTop w:val="0"/>
      <w:marBottom w:val="0"/>
      <w:divBdr>
        <w:top w:val="none" w:sz="0" w:space="0" w:color="auto"/>
        <w:left w:val="none" w:sz="0" w:space="0" w:color="auto"/>
        <w:bottom w:val="none" w:sz="0" w:space="0" w:color="auto"/>
        <w:right w:val="none" w:sz="0" w:space="0" w:color="auto"/>
      </w:divBdr>
    </w:div>
    <w:div w:id="830491497">
      <w:bodyDiv w:val="1"/>
      <w:marLeft w:val="0"/>
      <w:marRight w:val="0"/>
      <w:marTop w:val="0"/>
      <w:marBottom w:val="0"/>
      <w:divBdr>
        <w:top w:val="none" w:sz="0" w:space="0" w:color="auto"/>
        <w:left w:val="none" w:sz="0" w:space="0" w:color="auto"/>
        <w:bottom w:val="none" w:sz="0" w:space="0" w:color="auto"/>
        <w:right w:val="none" w:sz="0" w:space="0" w:color="auto"/>
      </w:divBdr>
      <w:divsChild>
        <w:div w:id="822892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1237905">
      <w:bodyDiv w:val="1"/>
      <w:marLeft w:val="0"/>
      <w:marRight w:val="0"/>
      <w:marTop w:val="0"/>
      <w:marBottom w:val="0"/>
      <w:divBdr>
        <w:top w:val="none" w:sz="0" w:space="0" w:color="auto"/>
        <w:left w:val="none" w:sz="0" w:space="0" w:color="auto"/>
        <w:bottom w:val="none" w:sz="0" w:space="0" w:color="auto"/>
        <w:right w:val="none" w:sz="0" w:space="0" w:color="auto"/>
      </w:divBdr>
    </w:div>
    <w:div w:id="945620003">
      <w:bodyDiv w:val="1"/>
      <w:marLeft w:val="0"/>
      <w:marRight w:val="0"/>
      <w:marTop w:val="0"/>
      <w:marBottom w:val="0"/>
      <w:divBdr>
        <w:top w:val="none" w:sz="0" w:space="0" w:color="auto"/>
        <w:left w:val="none" w:sz="0" w:space="0" w:color="auto"/>
        <w:bottom w:val="none" w:sz="0" w:space="0" w:color="auto"/>
        <w:right w:val="none" w:sz="0" w:space="0" w:color="auto"/>
      </w:divBdr>
    </w:div>
    <w:div w:id="1140264871">
      <w:bodyDiv w:val="1"/>
      <w:marLeft w:val="0"/>
      <w:marRight w:val="0"/>
      <w:marTop w:val="0"/>
      <w:marBottom w:val="0"/>
      <w:divBdr>
        <w:top w:val="none" w:sz="0" w:space="0" w:color="auto"/>
        <w:left w:val="none" w:sz="0" w:space="0" w:color="auto"/>
        <w:bottom w:val="none" w:sz="0" w:space="0" w:color="auto"/>
        <w:right w:val="none" w:sz="0" w:space="0" w:color="auto"/>
      </w:divBdr>
      <w:divsChild>
        <w:div w:id="154667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1507223">
      <w:bodyDiv w:val="1"/>
      <w:marLeft w:val="0"/>
      <w:marRight w:val="0"/>
      <w:marTop w:val="0"/>
      <w:marBottom w:val="0"/>
      <w:divBdr>
        <w:top w:val="none" w:sz="0" w:space="0" w:color="auto"/>
        <w:left w:val="none" w:sz="0" w:space="0" w:color="auto"/>
        <w:bottom w:val="none" w:sz="0" w:space="0" w:color="auto"/>
        <w:right w:val="none" w:sz="0" w:space="0" w:color="auto"/>
      </w:divBdr>
    </w:div>
    <w:div w:id="1184594688">
      <w:bodyDiv w:val="1"/>
      <w:marLeft w:val="0"/>
      <w:marRight w:val="0"/>
      <w:marTop w:val="0"/>
      <w:marBottom w:val="0"/>
      <w:divBdr>
        <w:top w:val="none" w:sz="0" w:space="0" w:color="auto"/>
        <w:left w:val="none" w:sz="0" w:space="0" w:color="auto"/>
        <w:bottom w:val="none" w:sz="0" w:space="0" w:color="auto"/>
        <w:right w:val="none" w:sz="0" w:space="0" w:color="auto"/>
      </w:divBdr>
    </w:div>
    <w:div w:id="1200048359">
      <w:bodyDiv w:val="1"/>
      <w:marLeft w:val="0"/>
      <w:marRight w:val="0"/>
      <w:marTop w:val="0"/>
      <w:marBottom w:val="0"/>
      <w:divBdr>
        <w:top w:val="none" w:sz="0" w:space="0" w:color="auto"/>
        <w:left w:val="none" w:sz="0" w:space="0" w:color="auto"/>
        <w:bottom w:val="none" w:sz="0" w:space="0" w:color="auto"/>
        <w:right w:val="none" w:sz="0" w:space="0" w:color="auto"/>
      </w:divBdr>
    </w:div>
    <w:div w:id="1215004196">
      <w:bodyDiv w:val="1"/>
      <w:marLeft w:val="0"/>
      <w:marRight w:val="0"/>
      <w:marTop w:val="0"/>
      <w:marBottom w:val="0"/>
      <w:divBdr>
        <w:top w:val="none" w:sz="0" w:space="0" w:color="auto"/>
        <w:left w:val="none" w:sz="0" w:space="0" w:color="auto"/>
        <w:bottom w:val="none" w:sz="0" w:space="0" w:color="auto"/>
        <w:right w:val="none" w:sz="0" w:space="0" w:color="auto"/>
      </w:divBdr>
    </w:div>
    <w:div w:id="1267663119">
      <w:bodyDiv w:val="1"/>
      <w:marLeft w:val="0"/>
      <w:marRight w:val="0"/>
      <w:marTop w:val="0"/>
      <w:marBottom w:val="0"/>
      <w:divBdr>
        <w:top w:val="none" w:sz="0" w:space="0" w:color="auto"/>
        <w:left w:val="none" w:sz="0" w:space="0" w:color="auto"/>
        <w:bottom w:val="none" w:sz="0" w:space="0" w:color="auto"/>
        <w:right w:val="none" w:sz="0" w:space="0" w:color="auto"/>
      </w:divBdr>
    </w:div>
    <w:div w:id="1412703430">
      <w:bodyDiv w:val="1"/>
      <w:marLeft w:val="0"/>
      <w:marRight w:val="0"/>
      <w:marTop w:val="0"/>
      <w:marBottom w:val="0"/>
      <w:divBdr>
        <w:top w:val="none" w:sz="0" w:space="0" w:color="auto"/>
        <w:left w:val="none" w:sz="0" w:space="0" w:color="auto"/>
        <w:bottom w:val="none" w:sz="0" w:space="0" w:color="auto"/>
        <w:right w:val="none" w:sz="0" w:space="0" w:color="auto"/>
      </w:divBdr>
    </w:div>
    <w:div w:id="1519007883">
      <w:bodyDiv w:val="1"/>
      <w:marLeft w:val="0"/>
      <w:marRight w:val="0"/>
      <w:marTop w:val="0"/>
      <w:marBottom w:val="0"/>
      <w:divBdr>
        <w:top w:val="none" w:sz="0" w:space="0" w:color="auto"/>
        <w:left w:val="none" w:sz="0" w:space="0" w:color="auto"/>
        <w:bottom w:val="none" w:sz="0" w:space="0" w:color="auto"/>
        <w:right w:val="none" w:sz="0" w:space="0" w:color="auto"/>
      </w:divBdr>
    </w:div>
    <w:div w:id="1736508181">
      <w:bodyDiv w:val="1"/>
      <w:marLeft w:val="0"/>
      <w:marRight w:val="0"/>
      <w:marTop w:val="0"/>
      <w:marBottom w:val="0"/>
      <w:divBdr>
        <w:top w:val="none" w:sz="0" w:space="0" w:color="auto"/>
        <w:left w:val="none" w:sz="0" w:space="0" w:color="auto"/>
        <w:bottom w:val="none" w:sz="0" w:space="0" w:color="auto"/>
        <w:right w:val="none" w:sz="0" w:space="0" w:color="auto"/>
      </w:divBdr>
    </w:div>
    <w:div w:id="1751611552">
      <w:bodyDiv w:val="1"/>
      <w:marLeft w:val="0"/>
      <w:marRight w:val="0"/>
      <w:marTop w:val="0"/>
      <w:marBottom w:val="0"/>
      <w:divBdr>
        <w:top w:val="none" w:sz="0" w:space="0" w:color="auto"/>
        <w:left w:val="none" w:sz="0" w:space="0" w:color="auto"/>
        <w:bottom w:val="none" w:sz="0" w:space="0" w:color="auto"/>
        <w:right w:val="none" w:sz="0" w:space="0" w:color="auto"/>
      </w:divBdr>
    </w:div>
    <w:div w:id="1918779900">
      <w:bodyDiv w:val="1"/>
      <w:marLeft w:val="0"/>
      <w:marRight w:val="0"/>
      <w:marTop w:val="0"/>
      <w:marBottom w:val="0"/>
      <w:divBdr>
        <w:top w:val="none" w:sz="0" w:space="0" w:color="auto"/>
        <w:left w:val="none" w:sz="0" w:space="0" w:color="auto"/>
        <w:bottom w:val="none" w:sz="0" w:space="0" w:color="auto"/>
        <w:right w:val="none" w:sz="0" w:space="0" w:color="auto"/>
      </w:divBdr>
    </w:div>
    <w:div w:id="2013098851">
      <w:bodyDiv w:val="1"/>
      <w:marLeft w:val="0"/>
      <w:marRight w:val="0"/>
      <w:marTop w:val="0"/>
      <w:marBottom w:val="0"/>
      <w:divBdr>
        <w:top w:val="none" w:sz="0" w:space="0" w:color="auto"/>
        <w:left w:val="none" w:sz="0" w:space="0" w:color="auto"/>
        <w:bottom w:val="none" w:sz="0" w:space="0" w:color="auto"/>
        <w:right w:val="none" w:sz="0" w:space="0" w:color="auto"/>
      </w:divBdr>
      <w:divsChild>
        <w:div w:id="1152020860">
          <w:marLeft w:val="0"/>
          <w:marRight w:val="0"/>
          <w:marTop w:val="0"/>
          <w:marBottom w:val="0"/>
          <w:divBdr>
            <w:top w:val="none" w:sz="0" w:space="0" w:color="auto"/>
            <w:left w:val="none" w:sz="0" w:space="0" w:color="auto"/>
            <w:bottom w:val="none" w:sz="0" w:space="0" w:color="auto"/>
            <w:right w:val="none" w:sz="0" w:space="0" w:color="auto"/>
          </w:divBdr>
          <w:divsChild>
            <w:div w:id="1060129924">
              <w:marLeft w:val="0"/>
              <w:marRight w:val="0"/>
              <w:marTop w:val="0"/>
              <w:marBottom w:val="0"/>
              <w:divBdr>
                <w:top w:val="none" w:sz="0" w:space="0" w:color="auto"/>
                <w:left w:val="none" w:sz="0" w:space="0" w:color="auto"/>
                <w:bottom w:val="none" w:sz="0" w:space="0" w:color="auto"/>
                <w:right w:val="none" w:sz="0" w:space="0" w:color="auto"/>
              </w:divBdr>
            </w:div>
            <w:div w:id="2010212557">
              <w:marLeft w:val="0"/>
              <w:marRight w:val="0"/>
              <w:marTop w:val="0"/>
              <w:marBottom w:val="0"/>
              <w:divBdr>
                <w:top w:val="none" w:sz="0" w:space="0" w:color="auto"/>
                <w:left w:val="none" w:sz="0" w:space="0" w:color="auto"/>
                <w:bottom w:val="none" w:sz="0" w:space="0" w:color="auto"/>
                <w:right w:val="none" w:sz="0" w:space="0" w:color="auto"/>
              </w:divBdr>
            </w:div>
            <w:div w:id="1805654725">
              <w:marLeft w:val="0"/>
              <w:marRight w:val="0"/>
              <w:marTop w:val="0"/>
              <w:marBottom w:val="0"/>
              <w:divBdr>
                <w:top w:val="none" w:sz="0" w:space="0" w:color="auto"/>
                <w:left w:val="none" w:sz="0" w:space="0" w:color="auto"/>
                <w:bottom w:val="none" w:sz="0" w:space="0" w:color="auto"/>
                <w:right w:val="none" w:sz="0" w:space="0" w:color="auto"/>
              </w:divBdr>
            </w:div>
            <w:div w:id="102117525">
              <w:marLeft w:val="0"/>
              <w:marRight w:val="0"/>
              <w:marTop w:val="0"/>
              <w:marBottom w:val="0"/>
              <w:divBdr>
                <w:top w:val="none" w:sz="0" w:space="0" w:color="auto"/>
                <w:left w:val="none" w:sz="0" w:space="0" w:color="auto"/>
                <w:bottom w:val="none" w:sz="0" w:space="0" w:color="auto"/>
                <w:right w:val="none" w:sz="0" w:space="0" w:color="auto"/>
              </w:divBdr>
            </w:div>
            <w:div w:id="1768690470">
              <w:marLeft w:val="0"/>
              <w:marRight w:val="0"/>
              <w:marTop w:val="0"/>
              <w:marBottom w:val="0"/>
              <w:divBdr>
                <w:top w:val="none" w:sz="0" w:space="0" w:color="auto"/>
                <w:left w:val="none" w:sz="0" w:space="0" w:color="auto"/>
                <w:bottom w:val="none" w:sz="0" w:space="0" w:color="auto"/>
                <w:right w:val="none" w:sz="0" w:space="0" w:color="auto"/>
              </w:divBdr>
            </w:div>
            <w:div w:id="910970159">
              <w:marLeft w:val="0"/>
              <w:marRight w:val="0"/>
              <w:marTop w:val="0"/>
              <w:marBottom w:val="0"/>
              <w:divBdr>
                <w:top w:val="none" w:sz="0" w:space="0" w:color="auto"/>
                <w:left w:val="none" w:sz="0" w:space="0" w:color="auto"/>
                <w:bottom w:val="none" w:sz="0" w:space="0" w:color="auto"/>
                <w:right w:val="none" w:sz="0" w:space="0" w:color="auto"/>
              </w:divBdr>
            </w:div>
            <w:div w:id="138497204">
              <w:marLeft w:val="0"/>
              <w:marRight w:val="0"/>
              <w:marTop w:val="0"/>
              <w:marBottom w:val="0"/>
              <w:divBdr>
                <w:top w:val="none" w:sz="0" w:space="0" w:color="auto"/>
                <w:left w:val="none" w:sz="0" w:space="0" w:color="auto"/>
                <w:bottom w:val="none" w:sz="0" w:space="0" w:color="auto"/>
                <w:right w:val="none" w:sz="0" w:space="0" w:color="auto"/>
              </w:divBdr>
            </w:div>
          </w:divsChild>
        </w:div>
        <w:div w:id="66459923">
          <w:marLeft w:val="0"/>
          <w:marRight w:val="0"/>
          <w:marTop w:val="0"/>
          <w:marBottom w:val="0"/>
          <w:divBdr>
            <w:top w:val="none" w:sz="0" w:space="0" w:color="auto"/>
            <w:left w:val="none" w:sz="0" w:space="0" w:color="auto"/>
            <w:bottom w:val="none" w:sz="0" w:space="0" w:color="auto"/>
            <w:right w:val="none" w:sz="0" w:space="0" w:color="auto"/>
          </w:divBdr>
          <w:divsChild>
            <w:div w:id="1221359753">
              <w:marLeft w:val="0"/>
              <w:marRight w:val="0"/>
              <w:marTop w:val="0"/>
              <w:marBottom w:val="0"/>
              <w:divBdr>
                <w:top w:val="none" w:sz="0" w:space="0" w:color="auto"/>
                <w:left w:val="none" w:sz="0" w:space="0" w:color="auto"/>
                <w:bottom w:val="none" w:sz="0" w:space="0" w:color="auto"/>
                <w:right w:val="none" w:sz="0" w:space="0" w:color="auto"/>
              </w:divBdr>
            </w:div>
            <w:div w:id="1612395064">
              <w:marLeft w:val="0"/>
              <w:marRight w:val="0"/>
              <w:marTop w:val="0"/>
              <w:marBottom w:val="0"/>
              <w:divBdr>
                <w:top w:val="none" w:sz="0" w:space="0" w:color="auto"/>
                <w:left w:val="none" w:sz="0" w:space="0" w:color="auto"/>
                <w:bottom w:val="none" w:sz="0" w:space="0" w:color="auto"/>
                <w:right w:val="none" w:sz="0" w:space="0" w:color="auto"/>
              </w:divBdr>
            </w:div>
            <w:div w:id="678967988">
              <w:marLeft w:val="0"/>
              <w:marRight w:val="0"/>
              <w:marTop w:val="0"/>
              <w:marBottom w:val="0"/>
              <w:divBdr>
                <w:top w:val="none" w:sz="0" w:space="0" w:color="auto"/>
                <w:left w:val="none" w:sz="0" w:space="0" w:color="auto"/>
                <w:bottom w:val="none" w:sz="0" w:space="0" w:color="auto"/>
                <w:right w:val="none" w:sz="0" w:space="0" w:color="auto"/>
              </w:divBdr>
            </w:div>
            <w:div w:id="958343754">
              <w:marLeft w:val="0"/>
              <w:marRight w:val="0"/>
              <w:marTop w:val="0"/>
              <w:marBottom w:val="0"/>
              <w:divBdr>
                <w:top w:val="none" w:sz="0" w:space="0" w:color="auto"/>
                <w:left w:val="none" w:sz="0" w:space="0" w:color="auto"/>
                <w:bottom w:val="none" w:sz="0" w:space="0" w:color="auto"/>
                <w:right w:val="none" w:sz="0" w:space="0" w:color="auto"/>
              </w:divBdr>
            </w:div>
            <w:div w:id="1574581981">
              <w:marLeft w:val="0"/>
              <w:marRight w:val="0"/>
              <w:marTop w:val="0"/>
              <w:marBottom w:val="0"/>
              <w:divBdr>
                <w:top w:val="none" w:sz="0" w:space="0" w:color="auto"/>
                <w:left w:val="none" w:sz="0" w:space="0" w:color="auto"/>
                <w:bottom w:val="none" w:sz="0" w:space="0" w:color="auto"/>
                <w:right w:val="none" w:sz="0" w:space="0" w:color="auto"/>
              </w:divBdr>
            </w:div>
            <w:div w:id="171102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9d90964-91d3-4c01-ab00-563f95f00a38}" enabled="0" method="" siteId="{a9d90964-91d3-4c01-ab00-563f95f00a38}" removed="1"/>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3585</Words>
  <Characters>20435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Atanu Das (IND)</cp:lastModifiedBy>
  <cp:revision>3</cp:revision>
  <dcterms:created xsi:type="dcterms:W3CDTF">2026-05-07T11:17:00Z</dcterms:created>
  <dcterms:modified xsi:type="dcterms:W3CDTF">2026-05-07T11:17:00Z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e00323fb-033a-433b-93c9-98e6c8729528</vt:lpwstr>
  </property>
</Properties>
</file>